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150A" w14:textId="77777777" w:rsidR="008A3055" w:rsidRDefault="00A44106" w:rsidP="00BF50C8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 w14:paraId="7AFAE7E3" w14:textId="77777777" w:rsidR="00E759C7" w:rsidRDefault="00245F1C" w:rsidP="00486B0E">
      <w:pPr>
        <w:spacing w:beforeLines="50" w:before="156" w:afterLines="50" w:after="156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投资者</w:t>
      </w:r>
      <w:r w:rsidR="00425EC6">
        <w:rPr>
          <w:rFonts w:ascii="宋体" w:hAnsi="宋体" w:hint="eastAsia"/>
          <w:b/>
          <w:color w:val="000000"/>
          <w:sz w:val="30"/>
          <w:szCs w:val="30"/>
        </w:rPr>
        <w:t>交流</w:t>
      </w:r>
      <w:r>
        <w:rPr>
          <w:rFonts w:ascii="宋体" w:hAnsi="宋体" w:hint="eastAsia"/>
          <w:b/>
          <w:color w:val="000000"/>
          <w:sz w:val="30"/>
          <w:szCs w:val="30"/>
        </w:rPr>
        <w:t>活动</w:t>
      </w:r>
      <w:r w:rsidR="00E759C7" w:rsidRPr="00E759C7">
        <w:rPr>
          <w:rFonts w:ascii="宋体" w:hAnsi="宋体" w:hint="eastAsia"/>
          <w:b/>
          <w:color w:val="000000"/>
          <w:sz w:val="30"/>
          <w:szCs w:val="30"/>
        </w:rPr>
        <w:t>记录表</w:t>
      </w:r>
    </w:p>
    <w:p w14:paraId="069EE5B5" w14:textId="77777777" w:rsidR="008A3055" w:rsidRDefault="00A44106" w:rsidP="00486B0E">
      <w:pPr>
        <w:spacing w:beforeLines="50" w:before="156" w:afterLines="50" w:after="156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</w:t>
      </w:r>
      <w:r>
        <w:rPr>
          <w:rFonts w:ascii="Times New Roman" w:hAnsi="Times New Roman"/>
          <w:sz w:val="24"/>
        </w:rPr>
        <w:t xml:space="preserve">603317                                          </w:t>
      </w:r>
      <w:r>
        <w:rPr>
          <w:rFonts w:ascii="Times New Roman" w:hAnsi="Times New Roman"/>
          <w:sz w:val="24"/>
        </w:rPr>
        <w:t>证券简称：</w:t>
      </w:r>
      <w:proofErr w:type="gramStart"/>
      <w:r>
        <w:rPr>
          <w:rFonts w:ascii="Times New Roman" w:hAnsi="Times New Roman"/>
          <w:sz w:val="24"/>
        </w:rPr>
        <w:t>天味食品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91"/>
      </w:tblGrid>
      <w:tr w:rsidR="0091351C" w14:paraId="565DAAC1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F625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活动类型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56B" w14:textId="77777777" w:rsidR="0091351C" w:rsidRPr="006F2B39" w:rsidRDefault="0091351C" w:rsidP="0091351C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特定对象调研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分析</w:t>
            </w:r>
            <w:proofErr w:type="gramStart"/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师会议</w:t>
            </w:r>
            <w:proofErr w:type="gramEnd"/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媒体采访</w:t>
            </w:r>
            <w:r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业绩说明会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新闻发布会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路演活动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现场参观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电话通讯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其他</w:t>
            </w:r>
          </w:p>
        </w:tc>
      </w:tr>
      <w:tr w:rsidR="0091351C" w14:paraId="5AEF1137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2A1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接待对象类型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67E" w14:textId="77777777" w:rsidR="0091351C" w:rsidRPr="006F2B39" w:rsidRDefault="0091351C" w:rsidP="0091351C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机构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91351C" w14:paraId="53B54752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51F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参与单位名称及人员姓名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D72" w14:textId="77777777" w:rsidR="0091351C" w:rsidRDefault="0091351C" w:rsidP="0091351C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EC3792">
              <w:rPr>
                <w:rFonts w:ascii="Times New Roman" w:eastAsiaTheme="minorEastAsia" w:hAnsi="Times New Roman" w:hint="eastAsia"/>
                <w:sz w:val="24"/>
              </w:rPr>
              <w:t>证券时报在线平台注册投资机构</w:t>
            </w:r>
            <w:r>
              <w:rPr>
                <w:rFonts w:ascii="Times New Roman" w:eastAsiaTheme="minorEastAsia" w:hAnsi="Times New Roman" w:hint="eastAsia"/>
                <w:sz w:val="24"/>
              </w:rPr>
              <w:t>及个人</w:t>
            </w:r>
          </w:p>
        </w:tc>
      </w:tr>
      <w:tr w:rsidR="0091351C" w14:paraId="05DEEF20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483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时间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99F" w14:textId="77777777" w:rsidR="0091351C" w:rsidRPr="00820AB9" w:rsidRDefault="0091351C" w:rsidP="0091351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="Times New Roman"/>
                <w:sz w:val="24"/>
              </w:rPr>
              <w:t>20</w:t>
            </w:r>
            <w:r>
              <w:rPr>
                <w:rFonts w:ascii="Times New Roman" w:eastAsiaTheme="minorEastAsia" w:hAnsi="Times New Roman" w:hint="eastAsia"/>
                <w:sz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="00BD5862">
              <w:rPr>
                <w:rFonts w:ascii="Times New Roman" w:eastAsiaTheme="minorEastAsia" w:hAnsi="Times New Roman" w:hint="eastAsia"/>
                <w:sz w:val="24"/>
              </w:rPr>
              <w:t>8</w:t>
            </w:r>
            <w:r>
              <w:rPr>
                <w:rFonts w:ascii="Times New Roman" w:eastAsiaTheme="minorEastAsia" w:hAnsi="Times New Roman" w:hint="eastAsia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</w:rPr>
              <w:t>5</w:t>
            </w:r>
            <w:r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BD5862">
              <w:rPr>
                <w:rFonts w:ascii="Times New Roman" w:eastAsiaTheme="minorEastAsia" w:hAnsi="Times New Roman" w:hint="eastAsia"/>
                <w:sz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</w:rPr>
              <w:t>0-16</w:t>
            </w:r>
            <w:r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BD5862">
              <w:rPr>
                <w:rFonts w:ascii="Times New Roman" w:eastAsiaTheme="minorEastAsia" w:hAnsi="Times New Roman" w:hint="eastAsia"/>
                <w:sz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</w:rPr>
              <w:t>0</w:t>
            </w:r>
          </w:p>
        </w:tc>
      </w:tr>
      <w:tr w:rsidR="0091351C" w14:paraId="30FD23E4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13E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地点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E38" w14:textId="77777777" w:rsidR="0091351C" w:rsidRPr="006F2B39" w:rsidRDefault="0091351C" w:rsidP="0091351C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通过“机会宝”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</w:rPr>
              <w:t>网上路演中心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>举行</w:t>
            </w:r>
          </w:p>
        </w:tc>
      </w:tr>
      <w:tr w:rsidR="0091351C" w14:paraId="01A64148" w14:textId="77777777" w:rsidTr="00BD5862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87B" w14:textId="77777777" w:rsidR="0091351C" w:rsidRPr="006F2B39" w:rsidRDefault="0091351C" w:rsidP="0091351C">
            <w:pPr>
              <w:widowControl/>
              <w:spacing w:line="276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上市公司接待人员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1E6" w14:textId="77777777" w:rsidR="0091351C" w:rsidRPr="006F2B39" w:rsidRDefault="0091351C" w:rsidP="0091351C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副总裁</w:t>
            </w:r>
            <w:proofErr w:type="gramStart"/>
            <w:r>
              <w:rPr>
                <w:rFonts w:ascii="Times New Roman" w:eastAsiaTheme="minorEastAsia" w:hAnsiTheme="minorEastAsia" w:hint="eastAsia"/>
                <w:sz w:val="24"/>
              </w:rPr>
              <w:t>兼董秘</w:t>
            </w:r>
            <w:proofErr w:type="gramEnd"/>
            <w:r>
              <w:rPr>
                <w:rFonts w:ascii="Times New Roman" w:eastAsiaTheme="minorEastAsia" w:hAnsiTheme="minorEastAsia" w:hint="eastAsia"/>
                <w:sz w:val="24"/>
              </w:rPr>
              <w:t>何昌军先生、证券事务代表李燕桥女士</w:t>
            </w:r>
          </w:p>
        </w:tc>
      </w:tr>
      <w:tr w:rsidR="0091351C" w:rsidRPr="00157DD2" w14:paraId="16A51A64" w14:textId="77777777" w:rsidTr="00BD5862">
        <w:trPr>
          <w:trHeight w:val="5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09C5" w14:textId="77777777" w:rsidR="0091351C" w:rsidRPr="006F2B39" w:rsidRDefault="0091351C" w:rsidP="0091351C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活动主要内容介绍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79F" w14:textId="77777777" w:rsidR="0091351C" w:rsidRPr="00AA31A7" w:rsidRDefault="00AA31A7" w:rsidP="00AA31A7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AA31A7">
              <w:rPr>
                <w:rFonts w:ascii="Times New Roman" w:hAnsi="Times New Roman"/>
                <w:b/>
                <w:bCs/>
                <w:sz w:val="24"/>
              </w:rPr>
              <w:t>介绍公司</w:t>
            </w:r>
            <w:r w:rsidRPr="00AA31A7">
              <w:rPr>
                <w:rFonts w:ascii="Times New Roman" w:hAnsi="Times New Roman"/>
                <w:b/>
                <w:bCs/>
                <w:sz w:val="24"/>
              </w:rPr>
              <w:t>2021</w:t>
            </w:r>
            <w:r w:rsidRPr="00AA31A7">
              <w:rPr>
                <w:rFonts w:ascii="Times New Roman" w:hAnsi="Times New Roman"/>
                <w:b/>
                <w:bCs/>
                <w:sz w:val="24"/>
              </w:rPr>
              <w:t>年半年度经营情况</w:t>
            </w:r>
          </w:p>
          <w:p w14:paraId="6B090A22" w14:textId="77777777" w:rsidR="00AA31A7" w:rsidRDefault="00AA31A7" w:rsidP="00AA31A7">
            <w:pPr>
              <w:pStyle w:val="a3"/>
              <w:spacing w:line="360" w:lineRule="auto"/>
              <w:ind w:left="420" w:firstLineChars="0" w:firstLine="0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报告期内，公司</w:t>
            </w:r>
            <w:r>
              <w:rPr>
                <w:rFonts w:ascii="Times New Roman" w:hAnsi="Times New Roman" w:hint="eastAsia"/>
                <w:sz w:val="24"/>
              </w:rPr>
              <w:t>营业</w:t>
            </w:r>
            <w:r w:rsidRPr="00AA31A7">
              <w:rPr>
                <w:rFonts w:ascii="Times New Roman" w:hAnsi="Times New Roman"/>
                <w:sz w:val="24"/>
              </w:rPr>
              <w:t>收入</w:t>
            </w:r>
            <w:r w:rsidRPr="00AA31A7">
              <w:rPr>
                <w:rFonts w:ascii="Times New Roman" w:hAnsi="Times New Roman"/>
                <w:sz w:val="24"/>
              </w:rPr>
              <w:t>10.17</w:t>
            </w:r>
            <w:r w:rsidRPr="00AA31A7">
              <w:rPr>
                <w:rFonts w:ascii="Times New Roman" w:hAnsi="Times New Roman"/>
                <w:sz w:val="24"/>
              </w:rPr>
              <w:t>亿元，同比增长</w:t>
            </w:r>
            <w:r w:rsidRPr="00AA31A7">
              <w:rPr>
                <w:rFonts w:ascii="Times New Roman" w:hAnsi="Times New Roman"/>
                <w:sz w:val="24"/>
              </w:rPr>
              <w:t>10.62%</w:t>
            </w:r>
            <w:r w:rsidRPr="00AA31A7">
              <w:rPr>
                <w:rFonts w:ascii="Times New Roman" w:hAnsi="Times New Roman"/>
                <w:sz w:val="24"/>
              </w:rPr>
              <w:t>；净利润</w:t>
            </w:r>
            <w:r w:rsidRPr="00AA31A7">
              <w:rPr>
                <w:rFonts w:ascii="Times New Roman" w:hAnsi="Times New Roman"/>
                <w:sz w:val="24"/>
              </w:rPr>
              <w:t>0.76</w:t>
            </w:r>
          </w:p>
          <w:p w14:paraId="54D69F6E" w14:textId="2821F99C" w:rsidR="00AA31A7" w:rsidRDefault="00AA31A7" w:rsidP="00AA31A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亿元，同比减少</w:t>
            </w:r>
            <w:r w:rsidRPr="00AA31A7">
              <w:rPr>
                <w:rFonts w:ascii="Times New Roman" w:hAnsi="Times New Roman"/>
                <w:sz w:val="24"/>
              </w:rPr>
              <w:t>62.13%</w:t>
            </w:r>
            <w:r w:rsidR="007B6DF7">
              <w:rPr>
                <w:rFonts w:ascii="Times New Roman" w:hAnsi="Times New Roman" w:hint="eastAsia"/>
                <w:sz w:val="24"/>
              </w:rPr>
              <w:t>；</w:t>
            </w:r>
            <w:r w:rsidRPr="00AA31A7">
              <w:rPr>
                <w:rFonts w:ascii="Times New Roman" w:hAnsi="Times New Roman"/>
                <w:sz w:val="24"/>
              </w:rPr>
              <w:t>毛利率</w:t>
            </w:r>
            <w:r w:rsidRPr="00AA31A7">
              <w:rPr>
                <w:rFonts w:ascii="Times New Roman" w:hAnsi="Times New Roman"/>
                <w:sz w:val="24"/>
              </w:rPr>
              <w:t>34.27%</w:t>
            </w:r>
            <w:r w:rsidRPr="00AA31A7">
              <w:rPr>
                <w:rFonts w:ascii="Times New Roman" w:hAnsi="Times New Roman"/>
                <w:sz w:val="24"/>
              </w:rPr>
              <w:t>，较去年同期下降</w:t>
            </w:r>
            <w:r w:rsidRPr="00AA31A7">
              <w:rPr>
                <w:rFonts w:ascii="Times New Roman" w:hAnsi="Times New Roman"/>
                <w:sz w:val="24"/>
              </w:rPr>
              <w:t>8.12</w:t>
            </w:r>
            <w:r w:rsidRPr="00AA31A7">
              <w:rPr>
                <w:rFonts w:ascii="Times New Roman" w:hAnsi="Times New Roman"/>
                <w:sz w:val="24"/>
              </w:rPr>
              <w:t>个百分点。</w:t>
            </w:r>
          </w:p>
          <w:p w14:paraId="48AF1A26" w14:textId="77777777" w:rsidR="00AA31A7" w:rsidRPr="00AA31A7" w:rsidRDefault="00AA31A7" w:rsidP="00AA31A7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480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收入按产品分类来看，火锅调料和中式菜品调料收入共计</w:t>
            </w:r>
            <w:r w:rsidRPr="00AA31A7">
              <w:rPr>
                <w:rFonts w:ascii="Times New Roman" w:hAnsi="Times New Roman"/>
                <w:sz w:val="24"/>
              </w:rPr>
              <w:t>9.62</w:t>
            </w:r>
            <w:r w:rsidRPr="00AA31A7">
              <w:rPr>
                <w:rFonts w:ascii="Times New Roman" w:hAnsi="Times New Roman"/>
                <w:sz w:val="24"/>
              </w:rPr>
              <w:t>亿元，火锅调料</w:t>
            </w:r>
            <w:r w:rsidRPr="00AA31A7">
              <w:rPr>
                <w:rFonts w:ascii="Times New Roman" w:hAnsi="Times New Roman"/>
                <w:sz w:val="24"/>
              </w:rPr>
              <w:t>4.34</w:t>
            </w:r>
            <w:r w:rsidRPr="00AA31A7">
              <w:rPr>
                <w:rFonts w:ascii="Times New Roman" w:hAnsi="Times New Roman"/>
                <w:sz w:val="24"/>
              </w:rPr>
              <w:t>亿元，占比</w:t>
            </w:r>
            <w:r w:rsidRPr="00AA31A7">
              <w:rPr>
                <w:rFonts w:ascii="Times New Roman" w:hAnsi="Times New Roman"/>
                <w:sz w:val="24"/>
              </w:rPr>
              <w:t>42.69%</w:t>
            </w:r>
            <w:r w:rsidRPr="00AA31A7">
              <w:rPr>
                <w:rFonts w:ascii="Times New Roman" w:hAnsi="Times New Roman"/>
                <w:sz w:val="24"/>
              </w:rPr>
              <w:t>，同比增加</w:t>
            </w:r>
            <w:r w:rsidRPr="00AA31A7">
              <w:rPr>
                <w:rFonts w:ascii="Times New Roman" w:hAnsi="Times New Roman"/>
                <w:sz w:val="24"/>
              </w:rPr>
              <w:t>14.02%</w:t>
            </w:r>
            <w:r w:rsidRPr="00AA31A7">
              <w:rPr>
                <w:rFonts w:ascii="Times New Roman" w:hAnsi="Times New Roman"/>
                <w:sz w:val="24"/>
              </w:rPr>
              <w:t>；中式菜品调料</w:t>
            </w:r>
            <w:r w:rsidRPr="00AA31A7">
              <w:rPr>
                <w:rFonts w:ascii="Times New Roman" w:hAnsi="Times New Roman"/>
                <w:sz w:val="24"/>
              </w:rPr>
              <w:t>5.28</w:t>
            </w:r>
            <w:r w:rsidRPr="00AA31A7">
              <w:rPr>
                <w:rFonts w:ascii="Times New Roman" w:hAnsi="Times New Roman"/>
                <w:sz w:val="24"/>
              </w:rPr>
              <w:t>亿元，占比</w:t>
            </w:r>
            <w:r w:rsidRPr="00AA31A7">
              <w:rPr>
                <w:rFonts w:ascii="Times New Roman" w:hAnsi="Times New Roman"/>
                <w:sz w:val="24"/>
              </w:rPr>
              <w:t>51.94%</w:t>
            </w:r>
            <w:r w:rsidRPr="00AA31A7">
              <w:rPr>
                <w:rFonts w:ascii="Times New Roman" w:hAnsi="Times New Roman"/>
                <w:sz w:val="24"/>
              </w:rPr>
              <w:t>，同比增加</w:t>
            </w:r>
            <w:r w:rsidRPr="00AA31A7">
              <w:rPr>
                <w:rFonts w:ascii="Times New Roman" w:hAnsi="Times New Roman"/>
                <w:sz w:val="24"/>
              </w:rPr>
              <w:t>7.79%</w:t>
            </w:r>
            <w:r w:rsidRPr="00AA31A7">
              <w:rPr>
                <w:rFonts w:ascii="Times New Roman" w:hAnsi="Times New Roman"/>
                <w:sz w:val="24"/>
              </w:rPr>
              <w:t>。</w:t>
            </w:r>
          </w:p>
          <w:p w14:paraId="008AFFD2" w14:textId="77777777" w:rsidR="00AA31A7" w:rsidRPr="00AA31A7" w:rsidRDefault="00AA31A7" w:rsidP="00AA31A7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480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收入</w:t>
            </w:r>
            <w:proofErr w:type="gramStart"/>
            <w:r w:rsidRPr="00AA31A7">
              <w:rPr>
                <w:rFonts w:ascii="Times New Roman" w:hAnsi="Times New Roman"/>
                <w:sz w:val="24"/>
              </w:rPr>
              <w:t>按渠道</w:t>
            </w:r>
            <w:proofErr w:type="gramEnd"/>
            <w:r w:rsidRPr="00AA31A7">
              <w:rPr>
                <w:rFonts w:ascii="Times New Roman" w:hAnsi="Times New Roman"/>
                <w:sz w:val="24"/>
              </w:rPr>
              <w:t>来看，经销商渠道收入为</w:t>
            </w:r>
            <w:r w:rsidRPr="00AA31A7">
              <w:rPr>
                <w:rFonts w:ascii="Times New Roman" w:hAnsi="Times New Roman"/>
                <w:sz w:val="24"/>
              </w:rPr>
              <w:t>8.14</w:t>
            </w:r>
            <w:r w:rsidRPr="00AA31A7">
              <w:rPr>
                <w:rFonts w:ascii="Times New Roman" w:hAnsi="Times New Roman"/>
                <w:sz w:val="24"/>
              </w:rPr>
              <w:t>亿元，同比增加</w:t>
            </w:r>
            <w:r w:rsidRPr="00AA31A7">
              <w:rPr>
                <w:rFonts w:ascii="Times New Roman" w:hAnsi="Times New Roman"/>
                <w:sz w:val="24"/>
              </w:rPr>
              <w:t>1.19%</w:t>
            </w:r>
            <w:r w:rsidRPr="00AA31A7">
              <w:rPr>
                <w:rFonts w:ascii="Times New Roman" w:hAnsi="Times New Roman"/>
                <w:sz w:val="24"/>
              </w:rPr>
              <w:t>，占比</w:t>
            </w:r>
            <w:r w:rsidRPr="00AA31A7">
              <w:rPr>
                <w:rFonts w:ascii="Times New Roman" w:hAnsi="Times New Roman"/>
                <w:sz w:val="24"/>
              </w:rPr>
              <w:t>80.16%</w:t>
            </w:r>
            <w:r w:rsidRPr="00AA31A7">
              <w:rPr>
                <w:rFonts w:ascii="Times New Roman" w:hAnsi="Times New Roman"/>
                <w:sz w:val="24"/>
              </w:rPr>
              <w:t>。定制</w:t>
            </w:r>
            <w:proofErr w:type="gramStart"/>
            <w:r w:rsidRPr="00AA31A7">
              <w:rPr>
                <w:rFonts w:ascii="Times New Roman" w:hAnsi="Times New Roman"/>
                <w:sz w:val="24"/>
              </w:rPr>
              <w:t>餐调渠道</w:t>
            </w:r>
            <w:proofErr w:type="gramEnd"/>
            <w:r w:rsidRPr="00AA31A7">
              <w:rPr>
                <w:rFonts w:ascii="Times New Roman" w:hAnsi="Times New Roman"/>
                <w:sz w:val="24"/>
              </w:rPr>
              <w:t>收入</w:t>
            </w:r>
            <w:r w:rsidRPr="00AA31A7">
              <w:rPr>
                <w:rFonts w:ascii="Times New Roman" w:hAnsi="Times New Roman"/>
                <w:sz w:val="24"/>
              </w:rPr>
              <w:t>1.21</w:t>
            </w:r>
            <w:r w:rsidRPr="00AA31A7">
              <w:rPr>
                <w:rFonts w:ascii="Times New Roman" w:hAnsi="Times New Roman"/>
                <w:sz w:val="24"/>
              </w:rPr>
              <w:t>亿元，随着下游餐饮复苏，有较大增长，同比增加</w:t>
            </w:r>
            <w:r w:rsidRPr="00AA31A7">
              <w:rPr>
                <w:rFonts w:ascii="Times New Roman" w:hAnsi="Times New Roman"/>
                <w:sz w:val="24"/>
              </w:rPr>
              <w:t>328.17%</w:t>
            </w:r>
            <w:r w:rsidRPr="00AA31A7">
              <w:rPr>
                <w:rFonts w:ascii="Times New Roman" w:hAnsi="Times New Roman"/>
                <w:sz w:val="24"/>
              </w:rPr>
              <w:t>，占比</w:t>
            </w:r>
            <w:r w:rsidRPr="00AA31A7">
              <w:rPr>
                <w:rFonts w:ascii="Times New Roman" w:hAnsi="Times New Roman"/>
                <w:sz w:val="24"/>
              </w:rPr>
              <w:t>11.92%</w:t>
            </w:r>
            <w:r w:rsidRPr="00AA31A7">
              <w:rPr>
                <w:rFonts w:ascii="Times New Roman" w:hAnsi="Times New Roman"/>
                <w:sz w:val="24"/>
              </w:rPr>
              <w:t>。</w:t>
            </w:r>
          </w:p>
          <w:p w14:paraId="6F84D0DC" w14:textId="77777777" w:rsidR="00AA31A7" w:rsidRPr="00AA31A7" w:rsidRDefault="00AA31A7" w:rsidP="00AA31A7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480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收入按地区分类，西南地区、华中地区和华东地区占较大，三个区域总计达到</w:t>
            </w:r>
            <w:r w:rsidRPr="00AA31A7">
              <w:rPr>
                <w:rFonts w:ascii="Times New Roman" w:hAnsi="Times New Roman"/>
                <w:sz w:val="24"/>
              </w:rPr>
              <w:t>66.87%</w:t>
            </w:r>
            <w:r w:rsidRPr="00AA31A7">
              <w:rPr>
                <w:rFonts w:ascii="Times New Roman" w:hAnsi="Times New Roman"/>
                <w:sz w:val="24"/>
              </w:rPr>
              <w:t>。公司市场网络已经覆盖全国</w:t>
            </w:r>
            <w:r w:rsidRPr="00AA31A7">
              <w:rPr>
                <w:rFonts w:ascii="Times New Roman" w:hAnsi="Times New Roman"/>
                <w:sz w:val="24"/>
              </w:rPr>
              <w:t>31</w:t>
            </w:r>
            <w:r w:rsidRPr="00AA31A7">
              <w:rPr>
                <w:rFonts w:ascii="Times New Roman" w:hAnsi="Times New Roman"/>
                <w:sz w:val="24"/>
              </w:rPr>
              <w:t>个省、自治区及直辖市，形成了四川、河南、江苏、陕西、甘肃、新疆、天津、北京、上海等多个优势省市以及由浙江、江西、云南等组成的快速增长区域。</w:t>
            </w:r>
          </w:p>
          <w:p w14:paraId="554D8341" w14:textId="77777777" w:rsidR="00A6752D" w:rsidRDefault="00A6752D" w:rsidP="00DA328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  <w:r>
              <w:rPr>
                <w:rFonts w:ascii="Times New Roman" w:hAnsi="Times New Roman" w:hint="eastAsia"/>
                <w:sz w:val="24"/>
              </w:rPr>
              <w:t>年上半年，公司围绕战略目标规划，持续做好以下</w:t>
            </w:r>
            <w:r w:rsidR="00E94C39">
              <w:rPr>
                <w:rFonts w:ascii="Times New Roman" w:hAnsi="Times New Roman" w:hint="eastAsia"/>
                <w:sz w:val="24"/>
              </w:rPr>
              <w:t>六</w:t>
            </w:r>
            <w:r>
              <w:rPr>
                <w:rFonts w:ascii="Times New Roman" w:hAnsi="Times New Roman" w:hint="eastAsia"/>
                <w:sz w:val="24"/>
              </w:rPr>
              <w:t>方面工作：</w:t>
            </w:r>
            <w:r w:rsidR="00E94C39">
              <w:rPr>
                <w:rFonts w:ascii="Times New Roman" w:hAnsi="Times New Roman" w:hint="eastAsia"/>
                <w:sz w:val="24"/>
              </w:rPr>
              <w:t>1</w:t>
            </w:r>
            <w:r w:rsidR="00E94C39">
              <w:rPr>
                <w:rFonts w:ascii="Times New Roman" w:hAnsi="Times New Roman" w:hint="eastAsia"/>
                <w:sz w:val="24"/>
              </w:rPr>
              <w:t>、推行营销系统管理的结构性改革；</w:t>
            </w:r>
            <w:r w:rsidR="00E94C39">
              <w:rPr>
                <w:rFonts w:ascii="Times New Roman" w:hAnsi="Times New Roman" w:hint="eastAsia"/>
                <w:sz w:val="24"/>
              </w:rPr>
              <w:t>2</w:t>
            </w:r>
            <w:r w:rsidR="00E94C39">
              <w:rPr>
                <w:rFonts w:ascii="Times New Roman" w:hAnsi="Times New Roman" w:hint="eastAsia"/>
                <w:sz w:val="24"/>
              </w:rPr>
              <w:t>、稳步推进智能新车间建设；</w:t>
            </w:r>
            <w:r w:rsidR="00E94C39">
              <w:rPr>
                <w:rFonts w:ascii="Times New Roman" w:hAnsi="Times New Roman" w:hint="eastAsia"/>
                <w:sz w:val="24"/>
              </w:rPr>
              <w:t>3</w:t>
            </w:r>
            <w:r w:rsidR="00E94C39">
              <w:rPr>
                <w:rFonts w:ascii="Times New Roman" w:hAnsi="Times New Roman" w:hint="eastAsia"/>
                <w:sz w:val="24"/>
              </w:rPr>
              <w:t>、打造行业领先、完整的研发体系；</w:t>
            </w:r>
            <w:r w:rsidR="00E94C39">
              <w:rPr>
                <w:rFonts w:ascii="Times New Roman" w:hAnsi="Times New Roman" w:hint="eastAsia"/>
                <w:sz w:val="24"/>
              </w:rPr>
              <w:t>4</w:t>
            </w:r>
            <w:r w:rsidR="00E94C39">
              <w:rPr>
                <w:rFonts w:ascii="Times New Roman" w:hAnsi="Times New Roman" w:hint="eastAsia"/>
                <w:sz w:val="24"/>
              </w:rPr>
              <w:t>、建立数字化、智慧化运营管理系统；</w:t>
            </w:r>
            <w:r w:rsidR="00E94C39">
              <w:rPr>
                <w:rFonts w:ascii="Times New Roman" w:hAnsi="Times New Roman" w:hint="eastAsia"/>
                <w:sz w:val="24"/>
              </w:rPr>
              <w:t>5</w:t>
            </w:r>
            <w:r w:rsidR="00E94C39">
              <w:rPr>
                <w:rFonts w:ascii="Times New Roman" w:hAnsi="Times New Roman" w:hint="eastAsia"/>
                <w:sz w:val="24"/>
              </w:rPr>
              <w:t>、深化人才梯队建设；</w:t>
            </w:r>
            <w:r w:rsidR="00E94C39">
              <w:rPr>
                <w:rFonts w:ascii="Times New Roman" w:hAnsi="Times New Roman" w:hint="eastAsia"/>
                <w:sz w:val="24"/>
              </w:rPr>
              <w:t>6</w:t>
            </w:r>
            <w:r w:rsidR="00E94C39">
              <w:rPr>
                <w:rFonts w:ascii="Times New Roman" w:hAnsi="Times New Roman" w:hint="eastAsia"/>
                <w:sz w:val="24"/>
              </w:rPr>
              <w:t>、打造健康、可持续发展的产业生态圈。</w:t>
            </w:r>
          </w:p>
          <w:p w14:paraId="19B1393F" w14:textId="77777777" w:rsidR="00E94C39" w:rsidRPr="00E94C39" w:rsidRDefault="00E94C39" w:rsidP="00E94C39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E94C39">
              <w:rPr>
                <w:rFonts w:ascii="Times New Roman" w:hAnsi="Times New Roman" w:hint="eastAsia"/>
                <w:b/>
                <w:bCs/>
                <w:sz w:val="24"/>
              </w:rPr>
              <w:lastRenderedPageBreak/>
              <w:t>与投资者互动交流环节</w:t>
            </w:r>
          </w:p>
          <w:p w14:paraId="3EEDD731" w14:textId="77777777" w:rsidR="00E94C39" w:rsidRDefault="00E94C39" w:rsidP="00E94C39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E94C39">
              <w:rPr>
                <w:rFonts w:ascii="Times New Roman" w:hAnsi="Times New Roman" w:hint="eastAsia"/>
                <w:b/>
                <w:bCs/>
                <w:sz w:val="24"/>
              </w:rPr>
              <w:t>毛利率下滑的原因</w:t>
            </w:r>
          </w:p>
          <w:p w14:paraId="45653A35" w14:textId="77777777" w:rsidR="00AA31A7" w:rsidRDefault="00AA31A7" w:rsidP="00E94C3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AA31A7">
              <w:rPr>
                <w:rFonts w:ascii="Times New Roman" w:hAnsi="Times New Roman"/>
                <w:sz w:val="24"/>
              </w:rPr>
              <w:t>2021</w:t>
            </w:r>
            <w:r w:rsidRPr="00AA31A7">
              <w:rPr>
                <w:rFonts w:ascii="Times New Roman" w:hAnsi="Times New Roman"/>
                <w:sz w:val="24"/>
              </w:rPr>
              <w:t>年上半年</w:t>
            </w:r>
            <w:r w:rsidR="00E94C39">
              <w:rPr>
                <w:rFonts w:ascii="Times New Roman" w:hAnsi="Times New Roman" w:hint="eastAsia"/>
                <w:sz w:val="24"/>
              </w:rPr>
              <w:t>毛利率下滑</w:t>
            </w:r>
            <w:r w:rsidRPr="00AA31A7">
              <w:rPr>
                <w:rFonts w:ascii="Times New Roman" w:hAnsi="Times New Roman"/>
                <w:sz w:val="24"/>
              </w:rPr>
              <w:t>主要</w:t>
            </w:r>
            <w:r w:rsidR="00E94C39">
              <w:rPr>
                <w:rFonts w:ascii="Times New Roman" w:hAnsi="Times New Roman" w:hint="eastAsia"/>
                <w:sz w:val="24"/>
              </w:rPr>
              <w:t>系</w:t>
            </w:r>
            <w:r w:rsidRPr="00AA31A7">
              <w:rPr>
                <w:rFonts w:ascii="Times New Roman" w:hAnsi="Times New Roman"/>
                <w:sz w:val="24"/>
              </w:rPr>
              <w:t>上半年产品促销力度加大</w:t>
            </w:r>
            <w:r w:rsidR="00E94C39">
              <w:rPr>
                <w:rFonts w:ascii="Times New Roman" w:hAnsi="Times New Roman" w:hint="eastAsia"/>
                <w:sz w:val="24"/>
              </w:rPr>
              <w:t>、</w:t>
            </w:r>
            <w:r w:rsidRPr="00AA31A7">
              <w:rPr>
                <w:rFonts w:ascii="Times New Roman" w:hAnsi="Times New Roman"/>
                <w:sz w:val="24"/>
              </w:rPr>
              <w:t>产品结</w:t>
            </w:r>
            <w:r w:rsidR="00486B0E">
              <w:rPr>
                <w:rFonts w:ascii="Times New Roman" w:hAnsi="Times New Roman" w:hint="eastAsia"/>
                <w:sz w:val="24"/>
              </w:rPr>
              <w:t>构变化</w:t>
            </w:r>
            <w:r w:rsidRPr="00AA31A7">
              <w:rPr>
                <w:rFonts w:ascii="Times New Roman" w:hAnsi="Times New Roman"/>
                <w:sz w:val="24"/>
              </w:rPr>
              <w:t>以及原材料价格上涨</w:t>
            </w:r>
            <w:r w:rsidR="00761349">
              <w:rPr>
                <w:rFonts w:ascii="Times New Roman" w:hAnsi="Times New Roman" w:hint="eastAsia"/>
                <w:sz w:val="24"/>
              </w:rPr>
              <w:t>所</w:t>
            </w:r>
            <w:r w:rsidRPr="00AA31A7">
              <w:rPr>
                <w:rFonts w:ascii="Times New Roman" w:hAnsi="Times New Roman"/>
                <w:sz w:val="24"/>
              </w:rPr>
              <w:t>致。</w:t>
            </w:r>
          </w:p>
          <w:p w14:paraId="5776E110" w14:textId="3A718ACC" w:rsidR="00761349" w:rsidRPr="00761349" w:rsidRDefault="00761349" w:rsidP="00761349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761349">
              <w:rPr>
                <w:rFonts w:ascii="Times New Roman" w:hAnsi="Times New Roman" w:hint="eastAsia"/>
                <w:b/>
                <w:bCs/>
                <w:sz w:val="24"/>
              </w:rPr>
              <w:t>哪些原材料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上涨</w:t>
            </w:r>
            <w:r w:rsidRPr="00761349">
              <w:rPr>
                <w:rFonts w:ascii="Times New Roman" w:hAnsi="Times New Roman" w:hint="eastAsia"/>
                <w:b/>
                <w:bCs/>
                <w:sz w:val="24"/>
              </w:rPr>
              <w:t>较大</w:t>
            </w:r>
          </w:p>
          <w:p w14:paraId="06A50C8A" w14:textId="77777777" w:rsidR="00761349" w:rsidRDefault="00486B0E" w:rsidP="00761349">
            <w:pPr>
              <w:spacing w:line="360" w:lineRule="auto"/>
              <w:ind w:lef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油脂类涨幅较大，</w:t>
            </w:r>
            <w:proofErr w:type="gramStart"/>
            <w:r w:rsidR="00761349">
              <w:rPr>
                <w:rFonts w:ascii="Times New Roman" w:hAnsi="Times New Roman" w:hint="eastAsia"/>
                <w:sz w:val="24"/>
              </w:rPr>
              <w:t>包</w:t>
            </w:r>
            <w:r>
              <w:rPr>
                <w:rFonts w:ascii="Times New Roman" w:hAnsi="Times New Roman" w:hint="eastAsia"/>
                <w:sz w:val="24"/>
              </w:rPr>
              <w:t>材及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部分农副产品价格也有</w:t>
            </w:r>
            <w:r w:rsidR="00761349">
              <w:rPr>
                <w:rFonts w:ascii="Times New Roman" w:hAnsi="Times New Roman" w:hint="eastAsia"/>
                <w:sz w:val="24"/>
              </w:rPr>
              <w:t>上涨。</w:t>
            </w:r>
          </w:p>
          <w:p w14:paraId="04DEC8ED" w14:textId="77777777" w:rsidR="00761349" w:rsidRDefault="006D68D7" w:rsidP="00761349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目前</w:t>
            </w:r>
            <w:r w:rsidR="00761349" w:rsidRPr="00761349">
              <w:rPr>
                <w:rFonts w:ascii="Times New Roman" w:hAnsi="Times New Roman" w:hint="eastAsia"/>
                <w:b/>
                <w:bCs/>
                <w:sz w:val="24"/>
              </w:rPr>
              <w:t>终端渠道库存情况</w:t>
            </w:r>
          </w:p>
          <w:p w14:paraId="71CEE7D0" w14:textId="77777777" w:rsidR="0062714F" w:rsidRDefault="00761349" w:rsidP="0076134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761349">
              <w:rPr>
                <w:rFonts w:ascii="Times New Roman" w:hAnsi="Times New Roman"/>
                <w:sz w:val="24"/>
              </w:rPr>
              <w:t>通过</w:t>
            </w:r>
            <w:r w:rsidRPr="00761349">
              <w:rPr>
                <w:rFonts w:ascii="Times New Roman" w:hAnsi="Times New Roman"/>
                <w:sz w:val="24"/>
              </w:rPr>
              <w:t>2</w:t>
            </w:r>
            <w:r w:rsidRPr="00761349">
              <w:rPr>
                <w:rFonts w:ascii="Times New Roman" w:hAnsi="Times New Roman"/>
                <w:sz w:val="24"/>
              </w:rPr>
              <w:t>季度一系列去库存的举措，目前渠道库存是良性的。</w:t>
            </w:r>
            <w:r w:rsidR="00486B0E">
              <w:rPr>
                <w:rFonts w:ascii="Times New Roman" w:hAnsi="Times New Roman" w:hint="eastAsia"/>
                <w:sz w:val="24"/>
              </w:rPr>
              <w:t>零售</w:t>
            </w:r>
            <w:r w:rsidRPr="00761349">
              <w:rPr>
                <w:rFonts w:ascii="Times New Roman" w:hAnsi="Times New Roman"/>
                <w:sz w:val="24"/>
              </w:rPr>
              <w:t>终端还有一些效期</w:t>
            </w:r>
            <w:r w:rsidR="00486B0E">
              <w:rPr>
                <w:rFonts w:ascii="Times New Roman" w:hAnsi="Times New Roman" w:hint="eastAsia"/>
                <w:sz w:val="24"/>
              </w:rPr>
              <w:t>相对</w:t>
            </w:r>
            <w:r w:rsidRPr="00761349">
              <w:rPr>
                <w:rFonts w:ascii="Times New Roman" w:hAnsi="Times New Roman"/>
                <w:sz w:val="24"/>
              </w:rPr>
              <w:t>偏长的产品。</w:t>
            </w:r>
          </w:p>
          <w:p w14:paraId="29A00DDA" w14:textId="77777777" w:rsidR="0062714F" w:rsidRPr="0062714F" w:rsidRDefault="0062714F" w:rsidP="0062714F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62714F">
              <w:rPr>
                <w:rFonts w:ascii="Times New Roman" w:hAnsi="Times New Roman" w:hint="eastAsia"/>
                <w:b/>
                <w:bCs/>
                <w:sz w:val="24"/>
              </w:rPr>
              <w:t>下半年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改善</w:t>
            </w:r>
            <w:r w:rsidRPr="0062714F">
              <w:rPr>
                <w:rFonts w:ascii="Times New Roman" w:hAnsi="Times New Roman" w:hint="eastAsia"/>
                <w:b/>
                <w:bCs/>
                <w:sz w:val="24"/>
              </w:rPr>
              <w:t>库存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的措施</w:t>
            </w:r>
          </w:p>
          <w:p w14:paraId="7C401E43" w14:textId="77777777" w:rsidR="00761349" w:rsidRDefault="0062714F" w:rsidP="0076134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</w:t>
            </w:r>
            <w:r w:rsidR="00CE0514">
              <w:rPr>
                <w:rFonts w:ascii="Times New Roman" w:hAnsi="Times New Roman" w:hint="eastAsia"/>
                <w:sz w:val="24"/>
              </w:rPr>
              <w:t>有以下四个举措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761349" w:rsidRPr="00761349">
              <w:rPr>
                <w:rFonts w:ascii="Times New Roman" w:hAnsi="Times New Roman"/>
                <w:sz w:val="24"/>
              </w:rPr>
              <w:t>生产端：以销定产，确保产品新鲜度；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761349" w:rsidRPr="00761349">
              <w:rPr>
                <w:rFonts w:ascii="Times New Roman" w:hAnsi="Times New Roman"/>
                <w:sz w:val="24"/>
              </w:rPr>
              <w:t>研发端：下半年做好产品上市分析，新品精准投放市场；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486B0E">
              <w:rPr>
                <w:rFonts w:ascii="Times New Roman" w:hAnsi="Times New Roman"/>
                <w:sz w:val="24"/>
              </w:rPr>
              <w:t>终端：保持合理的促销力度，集中</w:t>
            </w:r>
            <w:r w:rsidR="00486B0E">
              <w:rPr>
                <w:rFonts w:ascii="Times New Roman" w:hAnsi="Times New Roman" w:hint="eastAsia"/>
                <w:sz w:val="24"/>
              </w:rPr>
              <w:t>资源</w:t>
            </w:r>
            <w:r w:rsidR="00761349" w:rsidRPr="00761349">
              <w:rPr>
                <w:rFonts w:ascii="Times New Roman" w:hAnsi="Times New Roman"/>
                <w:sz w:val="24"/>
              </w:rPr>
              <w:t>消化效期</w:t>
            </w:r>
            <w:r w:rsidR="00486B0E">
              <w:rPr>
                <w:rFonts w:ascii="Times New Roman" w:hAnsi="Times New Roman" w:hint="eastAsia"/>
                <w:sz w:val="24"/>
              </w:rPr>
              <w:t>相对</w:t>
            </w:r>
            <w:r w:rsidR="00761349" w:rsidRPr="00761349">
              <w:rPr>
                <w:rFonts w:ascii="Times New Roman" w:hAnsi="Times New Roman"/>
                <w:sz w:val="24"/>
              </w:rPr>
              <w:t>偏长的产品；</w:t>
            </w:r>
            <w:r w:rsidR="00761349" w:rsidRPr="0076134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8E7015">
              <w:rPr>
                <w:rFonts w:ascii="Times New Roman" w:hAnsi="Times New Roman" w:hint="eastAsia"/>
                <w:sz w:val="24"/>
              </w:rPr>
              <w:t>营销端：</w:t>
            </w:r>
            <w:r w:rsidR="00761349" w:rsidRPr="00761349">
              <w:rPr>
                <w:rFonts w:ascii="Times New Roman" w:hAnsi="Times New Roman"/>
                <w:sz w:val="24"/>
              </w:rPr>
              <w:t>进一步强化渠道管理，充分发挥经销商联盟作用，为经销商赋能，提高经销商的运营能力及积极性。</w:t>
            </w:r>
          </w:p>
          <w:p w14:paraId="42D5E7C7" w14:textId="77777777" w:rsidR="0062714F" w:rsidRPr="0062714F" w:rsidRDefault="0062714F" w:rsidP="0062714F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62714F">
              <w:rPr>
                <w:rFonts w:ascii="Times New Roman" w:hAnsi="Times New Roman" w:hint="eastAsia"/>
                <w:b/>
                <w:bCs/>
                <w:sz w:val="24"/>
              </w:rPr>
              <w:t>社区</w:t>
            </w:r>
            <w:proofErr w:type="gramStart"/>
            <w:r w:rsidRPr="0062714F">
              <w:rPr>
                <w:rFonts w:ascii="Times New Roman" w:hAnsi="Times New Roman" w:hint="eastAsia"/>
                <w:b/>
                <w:bCs/>
                <w:sz w:val="24"/>
              </w:rPr>
              <w:t>团购对公司</w:t>
            </w:r>
            <w:proofErr w:type="gramEnd"/>
            <w:r w:rsidRPr="0062714F">
              <w:rPr>
                <w:rFonts w:ascii="Times New Roman" w:hAnsi="Times New Roman" w:hint="eastAsia"/>
                <w:b/>
                <w:bCs/>
                <w:sz w:val="24"/>
              </w:rPr>
              <w:t>销售影响</w:t>
            </w:r>
          </w:p>
          <w:p w14:paraId="23298573" w14:textId="30E685A2" w:rsidR="0062714F" w:rsidRDefault="00C03E5B" w:rsidP="0076134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社区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团购对终端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消费造成了一定的分流，且社区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团购对产品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的</w:t>
            </w:r>
            <w:r w:rsidR="0062714F">
              <w:rPr>
                <w:rFonts w:ascii="Times New Roman" w:hAnsi="Times New Roman" w:hint="eastAsia"/>
                <w:sz w:val="24"/>
              </w:rPr>
              <w:t>性价比</w:t>
            </w:r>
            <w:r>
              <w:rPr>
                <w:rFonts w:ascii="Times New Roman" w:hAnsi="Times New Roman" w:hint="eastAsia"/>
                <w:sz w:val="24"/>
              </w:rPr>
              <w:t>要求较</w:t>
            </w:r>
            <w:r w:rsidR="0062714F">
              <w:rPr>
                <w:rFonts w:ascii="Times New Roman" w:hAnsi="Times New Roman" w:hint="eastAsia"/>
                <w:sz w:val="24"/>
              </w:rPr>
              <w:t>高，基于公司对产品中高端的定位，目前在社区团</w:t>
            </w:r>
            <w:proofErr w:type="gramStart"/>
            <w:r w:rsidR="0062714F">
              <w:rPr>
                <w:rFonts w:ascii="Times New Roman" w:hAnsi="Times New Roman" w:hint="eastAsia"/>
                <w:sz w:val="24"/>
              </w:rPr>
              <w:t>购渠道无</w:t>
            </w:r>
            <w:proofErr w:type="gramEnd"/>
            <w:r w:rsidR="0062714F">
              <w:rPr>
                <w:rFonts w:ascii="Times New Roman" w:hAnsi="Times New Roman" w:hint="eastAsia"/>
                <w:sz w:val="24"/>
              </w:rPr>
              <w:t>明显优势</w:t>
            </w:r>
            <w:r w:rsidR="00AD5A74">
              <w:rPr>
                <w:rFonts w:ascii="Times New Roman" w:hAnsi="Times New Roman" w:hint="eastAsia"/>
                <w:sz w:val="24"/>
              </w:rPr>
              <w:t>。</w:t>
            </w:r>
            <w:r w:rsidR="0062714F">
              <w:rPr>
                <w:rFonts w:ascii="Times New Roman" w:hAnsi="Times New Roman" w:hint="eastAsia"/>
                <w:sz w:val="24"/>
              </w:rPr>
              <w:t>社区团购短期带来了价格竞争的扰动，侧面也反映短期需求的疲态，但从长期来看，随着需求的改善，产品力、品牌力强的企业更具有持续增长的空间。</w:t>
            </w:r>
            <w:r>
              <w:rPr>
                <w:rFonts w:ascii="Times New Roman" w:hAnsi="Times New Roman" w:hint="eastAsia"/>
                <w:sz w:val="24"/>
              </w:rPr>
              <w:t>公司会积极拥抱新零售渠道，</w:t>
            </w:r>
            <w:r w:rsidR="00364F31">
              <w:rPr>
                <w:rFonts w:ascii="Times New Roman" w:hAnsi="Times New Roman" w:hint="eastAsia"/>
                <w:sz w:val="24"/>
              </w:rPr>
              <w:t>但</w:t>
            </w:r>
            <w:r>
              <w:rPr>
                <w:rFonts w:ascii="Times New Roman" w:hAnsi="Times New Roman" w:hint="eastAsia"/>
                <w:sz w:val="24"/>
              </w:rPr>
              <w:t>为保持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整个价盘的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稳定，社区团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购渠道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与其他渠道的销售政策要一致，同时开发一些差异化的产品参与其中。</w:t>
            </w:r>
          </w:p>
          <w:p w14:paraId="0AF1638C" w14:textId="77777777" w:rsidR="00CA30DA" w:rsidRPr="00574062" w:rsidRDefault="00AD5A74" w:rsidP="00CA30DA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AD5A74">
              <w:rPr>
                <w:rFonts w:ascii="Times New Roman" w:hAnsi="Times New Roman" w:hint="eastAsia"/>
                <w:b/>
                <w:bCs/>
                <w:sz w:val="24"/>
              </w:rPr>
              <w:t>如何看待</w:t>
            </w:r>
            <w:proofErr w:type="gramStart"/>
            <w:r w:rsidRPr="00AD5A74">
              <w:rPr>
                <w:rFonts w:ascii="Times New Roman" w:hAnsi="Times New Roman" w:hint="eastAsia"/>
                <w:b/>
                <w:bCs/>
                <w:sz w:val="24"/>
              </w:rPr>
              <w:t>定制餐调的</w:t>
            </w:r>
            <w:proofErr w:type="gramEnd"/>
            <w:r w:rsidRPr="00AD5A74">
              <w:rPr>
                <w:rFonts w:ascii="Times New Roman" w:hAnsi="Times New Roman" w:hint="eastAsia"/>
                <w:b/>
                <w:bCs/>
                <w:sz w:val="24"/>
              </w:rPr>
              <w:t>行业空间</w:t>
            </w:r>
            <w:r w:rsidR="00CE0514">
              <w:rPr>
                <w:rFonts w:ascii="Times New Roman" w:hAnsi="Times New Roman" w:hint="eastAsia"/>
                <w:b/>
                <w:bCs/>
                <w:sz w:val="24"/>
              </w:rPr>
              <w:t>和</w:t>
            </w:r>
            <w:r w:rsidRPr="00AD5A74">
              <w:rPr>
                <w:rFonts w:ascii="Times New Roman" w:hAnsi="Times New Roman" w:hint="eastAsia"/>
                <w:b/>
                <w:bCs/>
                <w:sz w:val="24"/>
              </w:rPr>
              <w:t>盈利能力</w:t>
            </w:r>
          </w:p>
          <w:p w14:paraId="6984B25F" w14:textId="77777777" w:rsidR="00CE0514" w:rsidRPr="004C07E2" w:rsidRDefault="00CE0514" w:rsidP="004C07E2">
            <w:pPr>
              <w:spacing w:line="360" w:lineRule="auto"/>
              <w:ind w:left="480"/>
              <w:rPr>
                <w:rFonts w:ascii="Times New Roman" w:hAnsi="Times New Roman"/>
                <w:sz w:val="24"/>
              </w:rPr>
            </w:pPr>
            <w:r w:rsidRPr="004C07E2">
              <w:rPr>
                <w:rFonts w:ascii="Times New Roman" w:hAnsi="Times New Roman"/>
                <w:sz w:val="24"/>
              </w:rPr>
              <w:t>随着餐饮连锁化、标准化的发展趋势</w:t>
            </w:r>
            <w:r w:rsidR="00574062">
              <w:rPr>
                <w:rFonts w:ascii="Times New Roman" w:hAnsi="Times New Roman" w:hint="eastAsia"/>
                <w:sz w:val="24"/>
              </w:rPr>
              <w:t>，</w:t>
            </w:r>
            <w:r w:rsidR="004C07E2">
              <w:rPr>
                <w:rFonts w:ascii="Times New Roman" w:hAnsi="Times New Roman" w:hint="eastAsia"/>
                <w:sz w:val="24"/>
              </w:rPr>
              <w:t>“</w:t>
            </w:r>
            <w:r w:rsidRPr="004C07E2">
              <w:rPr>
                <w:rFonts w:ascii="Times New Roman" w:hAnsi="Times New Roman"/>
                <w:sz w:val="24"/>
              </w:rPr>
              <w:t>中央厨房</w:t>
            </w:r>
            <w:r w:rsidRPr="004C07E2">
              <w:rPr>
                <w:rFonts w:ascii="Times New Roman" w:hAnsi="Times New Roman"/>
                <w:sz w:val="24"/>
              </w:rPr>
              <w:t>+</w:t>
            </w:r>
            <w:r w:rsidRPr="004C07E2">
              <w:rPr>
                <w:rFonts w:ascii="Times New Roman" w:hAnsi="Times New Roman"/>
                <w:sz w:val="24"/>
              </w:rPr>
              <w:t>门店</w:t>
            </w:r>
            <w:r w:rsidR="004C07E2">
              <w:rPr>
                <w:rFonts w:ascii="Times New Roman" w:hAnsi="Times New Roman" w:hint="eastAsia"/>
                <w:sz w:val="24"/>
              </w:rPr>
              <w:t>”</w:t>
            </w:r>
            <w:r w:rsidRPr="004C07E2">
              <w:rPr>
                <w:rFonts w:ascii="Times New Roman" w:hAnsi="Times New Roman"/>
                <w:sz w:val="24"/>
              </w:rPr>
              <w:t>模式广泛</w:t>
            </w:r>
          </w:p>
          <w:p w14:paraId="22BBCF6A" w14:textId="77777777" w:rsidR="00CE0514" w:rsidRPr="00574062" w:rsidRDefault="00CE0514" w:rsidP="0057406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 w:rsidRPr="00CE0514">
              <w:rPr>
                <w:rFonts w:ascii="Times New Roman" w:hAnsi="Times New Roman"/>
                <w:sz w:val="24"/>
              </w:rPr>
              <w:t>应用</w:t>
            </w:r>
            <w:r w:rsidRPr="00CE0514">
              <w:rPr>
                <w:rFonts w:ascii="Times New Roman" w:hAnsi="Times New Roman" w:hint="eastAsia"/>
                <w:sz w:val="24"/>
              </w:rPr>
              <w:t>，</w:t>
            </w:r>
            <w:r w:rsidRPr="00CE0514">
              <w:rPr>
                <w:rFonts w:ascii="Times New Roman" w:hAnsi="Times New Roman"/>
                <w:sz w:val="24"/>
              </w:rPr>
              <w:t>为定制化复合调味品发展提供更多机会。</w:t>
            </w:r>
            <w:r w:rsidR="00574062" w:rsidRPr="00574062">
              <w:rPr>
                <w:rFonts w:ascii="Times New Roman" w:hAnsi="Times New Roman"/>
                <w:sz w:val="24"/>
              </w:rPr>
              <w:t>定制模式具有产品多规格、低毛利、柔性制造等特点，</w:t>
            </w:r>
            <w:r w:rsidR="00574062">
              <w:rPr>
                <w:rFonts w:ascii="Times New Roman" w:hAnsi="Times New Roman" w:hint="eastAsia"/>
                <w:sz w:val="24"/>
              </w:rPr>
              <w:t>还</w:t>
            </w:r>
            <w:r w:rsidRPr="00CE0514">
              <w:rPr>
                <w:rFonts w:ascii="Times New Roman" w:hAnsi="Times New Roman"/>
                <w:sz w:val="24"/>
              </w:rPr>
              <w:t>可以保证上菜速度快、产品更新及时的双重需求，并且通过规模化生产有效降低生产成本，因此我们认为</w:t>
            </w:r>
            <w:r w:rsidR="00574062" w:rsidRPr="00574062">
              <w:rPr>
                <w:rFonts w:ascii="Times New Roman" w:hAnsi="Times New Roman"/>
                <w:sz w:val="24"/>
              </w:rPr>
              <w:t>定制化调味品</w:t>
            </w:r>
            <w:r w:rsidRPr="00CE0514">
              <w:rPr>
                <w:rFonts w:ascii="Times New Roman" w:hAnsi="Times New Roman"/>
                <w:sz w:val="24"/>
              </w:rPr>
              <w:t>是未来调味品发展的重要风口。</w:t>
            </w:r>
            <w:r w:rsidR="00081D6E" w:rsidRPr="00081D6E">
              <w:rPr>
                <w:rFonts w:ascii="Times New Roman" w:hAnsi="Times New Roman"/>
                <w:sz w:val="24"/>
              </w:rPr>
              <w:t>目前随着市场竞争环境的变化，定制与非定制企业也在互相渗透。</w:t>
            </w:r>
            <w:r w:rsidR="00574062" w:rsidRPr="00574062">
              <w:rPr>
                <w:rFonts w:ascii="Times New Roman" w:hAnsi="Times New Roman" w:hint="eastAsia"/>
                <w:sz w:val="24"/>
              </w:rPr>
              <w:t>经过</w:t>
            </w:r>
            <w:r w:rsidR="00574062" w:rsidRPr="00574062">
              <w:rPr>
                <w:rFonts w:ascii="Times New Roman" w:hAnsi="Times New Roman"/>
                <w:sz w:val="24"/>
              </w:rPr>
              <w:t>这几年的发展，</w:t>
            </w:r>
            <w:r w:rsidR="00574062" w:rsidRPr="00574062">
              <w:rPr>
                <w:rFonts w:ascii="Times New Roman" w:hAnsi="Times New Roman" w:hint="eastAsia"/>
                <w:sz w:val="24"/>
              </w:rPr>
              <w:t>公司</w:t>
            </w:r>
            <w:r w:rsidR="00574062" w:rsidRPr="00574062">
              <w:rPr>
                <w:rFonts w:ascii="Times New Roman" w:hAnsi="Times New Roman"/>
                <w:sz w:val="24"/>
              </w:rPr>
              <w:t>的定制</w:t>
            </w:r>
            <w:proofErr w:type="gramStart"/>
            <w:r w:rsidR="00574062" w:rsidRPr="00574062">
              <w:rPr>
                <w:rFonts w:ascii="Times New Roman" w:hAnsi="Times New Roman"/>
                <w:sz w:val="24"/>
              </w:rPr>
              <w:t>餐调业务</w:t>
            </w:r>
            <w:proofErr w:type="gramEnd"/>
            <w:r w:rsidR="00574062" w:rsidRPr="00574062">
              <w:rPr>
                <w:rFonts w:ascii="Times New Roman" w:hAnsi="Times New Roman"/>
                <w:sz w:val="24"/>
              </w:rPr>
              <w:t>模式主要是</w:t>
            </w:r>
            <w:r w:rsidR="00574062" w:rsidRPr="00574062">
              <w:rPr>
                <w:rFonts w:ascii="Times New Roman" w:hAnsi="Times New Roman" w:hint="eastAsia"/>
                <w:sz w:val="24"/>
              </w:rPr>
              <w:t>“</w:t>
            </w:r>
            <w:r w:rsidR="00574062" w:rsidRPr="00574062">
              <w:rPr>
                <w:rFonts w:ascii="Times New Roman" w:hAnsi="Times New Roman"/>
                <w:sz w:val="24"/>
              </w:rPr>
              <w:t>头部聚焦</w:t>
            </w:r>
            <w:r w:rsidR="00574062" w:rsidRPr="00574062">
              <w:rPr>
                <w:rFonts w:ascii="Times New Roman" w:hAnsi="Times New Roman"/>
                <w:sz w:val="24"/>
              </w:rPr>
              <w:t>+</w:t>
            </w:r>
            <w:r w:rsidR="00574062" w:rsidRPr="00574062">
              <w:rPr>
                <w:rFonts w:ascii="Times New Roman" w:hAnsi="Times New Roman"/>
                <w:sz w:val="24"/>
              </w:rPr>
              <w:t>标品</w:t>
            </w:r>
            <w:r w:rsidR="00574062" w:rsidRPr="00574062">
              <w:rPr>
                <w:rFonts w:ascii="Times New Roman" w:hAnsi="Times New Roman" w:hint="eastAsia"/>
                <w:sz w:val="24"/>
              </w:rPr>
              <w:t>”</w:t>
            </w:r>
            <w:r w:rsidR="00574062" w:rsidRPr="00574062">
              <w:rPr>
                <w:rFonts w:ascii="Times New Roman" w:hAnsi="Times New Roman"/>
                <w:sz w:val="24"/>
              </w:rPr>
              <w:t>，并为餐饮客户提供应用解决方案</w:t>
            </w:r>
            <w:r w:rsidR="00574062" w:rsidRPr="00574062">
              <w:rPr>
                <w:rFonts w:ascii="Times New Roman" w:hAnsi="Times New Roman" w:hint="eastAsia"/>
                <w:sz w:val="24"/>
              </w:rPr>
              <w:t>，</w:t>
            </w:r>
            <w:r w:rsidR="00574062" w:rsidRPr="00574062">
              <w:rPr>
                <w:rFonts w:ascii="Times New Roman" w:hAnsi="Times New Roman"/>
                <w:sz w:val="24"/>
              </w:rPr>
              <w:t>将具有规</w:t>
            </w:r>
            <w:r w:rsidR="00574062" w:rsidRPr="00574062">
              <w:rPr>
                <w:rFonts w:ascii="Times New Roman" w:hAnsi="Times New Roman"/>
                <w:sz w:val="24"/>
              </w:rPr>
              <w:lastRenderedPageBreak/>
              <w:t>模的餐饮连锁店作为切入点，小</w:t>
            </w:r>
            <w:r w:rsidR="00574062" w:rsidRPr="00574062">
              <w:rPr>
                <w:rFonts w:ascii="Times New Roman" w:hAnsi="Times New Roman"/>
                <w:sz w:val="24"/>
              </w:rPr>
              <w:t>B</w:t>
            </w:r>
            <w:r w:rsidR="00574062" w:rsidRPr="00574062">
              <w:rPr>
                <w:rFonts w:ascii="Times New Roman" w:hAnsi="Times New Roman"/>
                <w:sz w:val="24"/>
              </w:rPr>
              <w:t>客户则用通用标品</w:t>
            </w:r>
            <w:r w:rsidR="00574062">
              <w:rPr>
                <w:rFonts w:ascii="Times New Roman" w:hAnsi="Times New Roman" w:hint="eastAsia"/>
                <w:sz w:val="24"/>
              </w:rPr>
              <w:t>，随着餐饮行业的复苏，我们将会持续加大这方面的投入。</w:t>
            </w:r>
          </w:p>
          <w:p w14:paraId="1A10D460" w14:textId="77777777" w:rsidR="003463BE" w:rsidRDefault="006F3CFC" w:rsidP="00914687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复调</w:t>
            </w:r>
            <w:r w:rsidR="00914687" w:rsidRPr="00914687">
              <w:rPr>
                <w:rFonts w:ascii="Times New Roman" w:hAnsi="Times New Roman" w:hint="eastAsia"/>
                <w:b/>
                <w:bCs/>
                <w:sz w:val="24"/>
              </w:rPr>
              <w:t>行业发展趋势</w:t>
            </w:r>
          </w:p>
          <w:p w14:paraId="12B02990" w14:textId="77777777" w:rsidR="00914687" w:rsidRDefault="006F3CFC" w:rsidP="00914687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疫情</w:t>
            </w:r>
            <w:r w:rsidR="00914687">
              <w:rPr>
                <w:rFonts w:ascii="Times New Roman" w:hAnsi="Times New Roman" w:hint="eastAsia"/>
                <w:sz w:val="24"/>
              </w:rPr>
              <w:t>反复，</w:t>
            </w:r>
            <w:r>
              <w:rPr>
                <w:rFonts w:ascii="Times New Roman" w:hAnsi="Times New Roman"/>
                <w:sz w:val="24"/>
              </w:rPr>
              <w:t>对经济发展造成</w:t>
            </w:r>
            <w:r>
              <w:rPr>
                <w:rFonts w:ascii="Times New Roman" w:hAnsi="Times New Roman" w:hint="eastAsia"/>
                <w:sz w:val="24"/>
              </w:rPr>
              <w:t>一定</w:t>
            </w:r>
            <w:r w:rsidR="00914687" w:rsidRPr="00914687">
              <w:rPr>
                <w:rFonts w:ascii="Times New Roman" w:hAnsi="Times New Roman"/>
                <w:sz w:val="24"/>
              </w:rPr>
              <w:t>影响，调味品短期需求疲软，加之竞争加剧、新渠道对消费的分流，短期内对业绩增长造成</w:t>
            </w:r>
            <w:r w:rsidR="00914687">
              <w:rPr>
                <w:rFonts w:ascii="Times New Roman" w:hAnsi="Times New Roman" w:hint="eastAsia"/>
                <w:sz w:val="24"/>
              </w:rPr>
              <w:t>一定的</w:t>
            </w:r>
            <w:r w:rsidR="00914687" w:rsidRPr="00914687">
              <w:rPr>
                <w:rFonts w:ascii="Times New Roman" w:hAnsi="Times New Roman"/>
                <w:sz w:val="24"/>
              </w:rPr>
              <w:t>压力。但是，目前调味品行业集中度还是很低，随着行业整合的不断推进，集中度不高的行业格局在逐步改变，</w:t>
            </w:r>
            <w:r w:rsidR="00914687">
              <w:rPr>
                <w:rFonts w:ascii="Times New Roman" w:hAnsi="Times New Roman" w:hint="eastAsia"/>
                <w:sz w:val="24"/>
              </w:rPr>
              <w:t>将逐步</w:t>
            </w:r>
            <w:r w:rsidR="00914687" w:rsidRPr="00914687">
              <w:rPr>
                <w:rFonts w:ascii="Times New Roman" w:hAnsi="Times New Roman"/>
                <w:sz w:val="24"/>
              </w:rPr>
              <w:t>向资源整合能力强的头部企业集中。优势企业无论是在产品研发、生产规模、渠道建设、品牌推广等方面，依然保持领先优势，行业竞争逻辑并无本质变革。头部企业为获得更加稳固的市场地位对中小企业形成挤压式竞争，经过一轮行业激烈竞争，也是一轮洗牌过程，推动头部企业不断建立竞争护城河。</w:t>
            </w:r>
          </w:p>
          <w:p w14:paraId="0B37461E" w14:textId="16A1634F" w:rsidR="00DB4C11" w:rsidRPr="00AA5036" w:rsidRDefault="00DB4C11" w:rsidP="00AA5036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Chars="0" w:firstLine="0"/>
              <w:rPr>
                <w:rFonts w:ascii="Times New Roman" w:hAnsi="Times New Roman"/>
                <w:sz w:val="24"/>
              </w:rPr>
            </w:pPr>
            <w:r w:rsidRPr="00DB4C11">
              <w:rPr>
                <w:rFonts w:ascii="Times New Roman" w:hAnsi="Times New Roman" w:hint="eastAsia"/>
                <w:b/>
                <w:bCs/>
                <w:sz w:val="24"/>
              </w:rPr>
              <w:t>上半年新增经销商数量</w:t>
            </w:r>
            <w:r w:rsidR="00CA30DA">
              <w:rPr>
                <w:rFonts w:ascii="Times New Roman" w:hAnsi="Times New Roman" w:hint="eastAsia"/>
                <w:b/>
                <w:bCs/>
                <w:sz w:val="24"/>
              </w:rPr>
              <w:t>，</w:t>
            </w:r>
            <w:r w:rsidRPr="00DB4C1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DB4C11">
              <w:rPr>
                <w:rFonts w:ascii="Times New Roman" w:hAnsi="Times New Roman" w:hint="eastAsia"/>
                <w:b/>
                <w:bCs/>
                <w:sz w:val="24"/>
              </w:rPr>
              <w:t>季度新增经销商数量</w:t>
            </w:r>
            <w:r w:rsidR="008E7015">
              <w:rPr>
                <w:rFonts w:ascii="Times New Roman" w:hAnsi="Times New Roman" w:hint="eastAsia"/>
                <w:b/>
                <w:bCs/>
                <w:sz w:val="24"/>
              </w:rPr>
              <w:t>以及</w:t>
            </w:r>
            <w:r w:rsidRPr="00DB4C11">
              <w:rPr>
                <w:rFonts w:ascii="Times New Roman" w:hAnsi="Times New Roman" w:hint="eastAsia"/>
                <w:b/>
                <w:bCs/>
                <w:sz w:val="24"/>
              </w:rPr>
              <w:t>目前</w:t>
            </w:r>
            <w:r w:rsidR="00AA5036">
              <w:rPr>
                <w:rFonts w:ascii="Times New Roman" w:hAnsi="Times New Roman" w:hint="eastAsia"/>
                <w:b/>
                <w:bCs/>
                <w:sz w:val="24"/>
              </w:rPr>
              <w:t>新增</w:t>
            </w:r>
            <w:r w:rsidRPr="00DB4C11">
              <w:rPr>
                <w:rFonts w:ascii="Times New Roman" w:hAnsi="Times New Roman" w:hint="eastAsia"/>
                <w:b/>
                <w:bCs/>
                <w:sz w:val="24"/>
              </w:rPr>
              <w:t>经销商</w:t>
            </w:r>
            <w:r w:rsidRPr="00AA5036">
              <w:rPr>
                <w:rFonts w:ascii="Times New Roman" w:hAnsi="Times New Roman" w:hint="eastAsia"/>
                <w:b/>
                <w:bCs/>
                <w:sz w:val="24"/>
              </w:rPr>
              <w:t>质量</w:t>
            </w:r>
          </w:p>
          <w:p w14:paraId="6289A757" w14:textId="0C635802" w:rsidR="00DB4C11" w:rsidRDefault="00DB4C11" w:rsidP="0088446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  <w:r>
              <w:rPr>
                <w:rFonts w:ascii="Times New Roman" w:hAnsi="Times New Roman" w:hint="eastAsia"/>
                <w:sz w:val="24"/>
              </w:rPr>
              <w:t>年上半年经销商共计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 w:rsidR="008E701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 w:hint="eastAsia"/>
                <w:sz w:val="24"/>
              </w:rPr>
              <w:t>386</w:t>
            </w:r>
            <w:r>
              <w:rPr>
                <w:rFonts w:ascii="Times New Roman" w:hAnsi="Times New Roman" w:hint="eastAsia"/>
                <w:sz w:val="24"/>
              </w:rPr>
              <w:t>家，较年初增加</w:t>
            </w:r>
            <w:r>
              <w:rPr>
                <w:rFonts w:ascii="Times New Roman" w:hAnsi="Times New Roman" w:hint="eastAsia"/>
                <w:sz w:val="24"/>
              </w:rPr>
              <w:t>385</w:t>
            </w:r>
            <w:r>
              <w:rPr>
                <w:rFonts w:ascii="Times New Roman" w:hAnsi="Times New Roman" w:hint="eastAsia"/>
                <w:sz w:val="24"/>
              </w:rPr>
              <w:t>家</w:t>
            </w:r>
            <w:r w:rsidR="00267115">
              <w:rPr>
                <w:rFonts w:ascii="Times New Roman" w:hAnsi="Times New Roman" w:hint="eastAsia"/>
                <w:sz w:val="24"/>
              </w:rPr>
              <w:t>，其中</w:t>
            </w:r>
            <w:r w:rsidR="00267115">
              <w:rPr>
                <w:rFonts w:ascii="Times New Roman" w:hAnsi="Times New Roman" w:hint="eastAsia"/>
                <w:sz w:val="24"/>
              </w:rPr>
              <w:t>2</w:t>
            </w:r>
            <w:r w:rsidR="007B6DF7">
              <w:rPr>
                <w:rFonts w:ascii="Times New Roman" w:hAnsi="Times New Roman" w:hint="eastAsia"/>
                <w:sz w:val="24"/>
              </w:rPr>
              <w:t>季度</w:t>
            </w:r>
            <w:r w:rsidR="00267115">
              <w:rPr>
                <w:rFonts w:ascii="Times New Roman" w:hAnsi="Times New Roman" w:hint="eastAsia"/>
                <w:sz w:val="24"/>
              </w:rPr>
              <w:t>新增</w:t>
            </w:r>
            <w:r w:rsidR="00267115">
              <w:rPr>
                <w:rFonts w:ascii="Times New Roman" w:hAnsi="Times New Roman" w:hint="eastAsia"/>
                <w:sz w:val="24"/>
              </w:rPr>
              <w:t>202</w:t>
            </w:r>
            <w:r w:rsidR="00267115">
              <w:rPr>
                <w:rFonts w:ascii="Times New Roman" w:hAnsi="Times New Roman" w:hint="eastAsia"/>
                <w:sz w:val="24"/>
              </w:rPr>
              <w:t>家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 w:rsidR="008E7015">
              <w:rPr>
                <w:rFonts w:ascii="Times New Roman" w:hAnsi="Times New Roman" w:hint="eastAsia"/>
                <w:sz w:val="24"/>
              </w:rPr>
              <w:t>公司</w:t>
            </w:r>
            <w:r>
              <w:rPr>
                <w:rFonts w:ascii="Times New Roman" w:hAnsi="Times New Roman" w:hint="eastAsia"/>
                <w:sz w:val="24"/>
              </w:rPr>
              <w:t>开发经销商，主要从复调销售经验、资金实力、渠道能力</w:t>
            </w:r>
            <w:r w:rsidR="00267115">
              <w:rPr>
                <w:rFonts w:ascii="Times New Roman" w:hAnsi="Times New Roman" w:hint="eastAsia"/>
                <w:sz w:val="24"/>
              </w:rPr>
              <w:t>、运营能力</w:t>
            </w:r>
            <w:r>
              <w:rPr>
                <w:rFonts w:ascii="Times New Roman" w:hAnsi="Times New Roman" w:hint="eastAsia"/>
                <w:sz w:val="24"/>
              </w:rPr>
              <w:t>等方面</w:t>
            </w:r>
            <w:r w:rsidR="00884467">
              <w:rPr>
                <w:rFonts w:ascii="Times New Roman" w:hAnsi="Times New Roman" w:hint="eastAsia"/>
                <w:sz w:val="24"/>
              </w:rPr>
              <w:t>作为参考来选择当地头</w:t>
            </w:r>
            <w:r w:rsidR="00FF6D6E">
              <w:rPr>
                <w:rFonts w:ascii="Times New Roman" w:hAnsi="Times New Roman" w:hint="eastAsia"/>
                <w:sz w:val="24"/>
              </w:rPr>
              <w:t>部经销商。新开发的经销商对公司产品和市场有一个了解的过程，订货有</w:t>
            </w:r>
            <w:r w:rsidR="00884467">
              <w:rPr>
                <w:rFonts w:ascii="Times New Roman" w:hAnsi="Times New Roman" w:hint="eastAsia"/>
                <w:sz w:val="24"/>
              </w:rPr>
              <w:t>逐步上量的过程，一般情况下，</w:t>
            </w:r>
            <w:r w:rsidR="00884467">
              <w:rPr>
                <w:rFonts w:ascii="Times New Roman" w:hAnsi="Times New Roman" w:hint="eastAsia"/>
                <w:sz w:val="24"/>
              </w:rPr>
              <w:t>12</w:t>
            </w:r>
            <w:r w:rsidR="00884467">
              <w:rPr>
                <w:rFonts w:ascii="Times New Roman" w:hAnsi="Times New Roman" w:hint="eastAsia"/>
                <w:sz w:val="24"/>
              </w:rPr>
              <w:t>个月以上才能评估确定其</w:t>
            </w:r>
            <w:r w:rsidR="00FF6D6E">
              <w:rPr>
                <w:rFonts w:ascii="Times New Roman" w:hAnsi="Times New Roman" w:hint="eastAsia"/>
                <w:sz w:val="24"/>
              </w:rPr>
              <w:t>整体</w:t>
            </w:r>
            <w:r w:rsidR="00884467">
              <w:rPr>
                <w:rFonts w:ascii="Times New Roman" w:hAnsi="Times New Roman" w:hint="eastAsia"/>
                <w:sz w:val="24"/>
              </w:rPr>
              <w:t>销售能力</w:t>
            </w:r>
            <w:r w:rsidR="00081D6E">
              <w:rPr>
                <w:rFonts w:ascii="Times New Roman" w:hAnsi="Times New Roman" w:hint="eastAsia"/>
                <w:sz w:val="24"/>
              </w:rPr>
              <w:t>。</w:t>
            </w:r>
          </w:p>
          <w:p w14:paraId="55E5A885" w14:textId="77777777" w:rsidR="00AA5CEB" w:rsidRPr="00AA5CEB" w:rsidRDefault="00AA5CEB" w:rsidP="00081D6E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AA5CEB">
              <w:rPr>
                <w:rFonts w:ascii="Times New Roman" w:hAnsi="Times New Roman" w:hint="eastAsia"/>
                <w:b/>
                <w:bCs/>
                <w:sz w:val="24"/>
              </w:rPr>
              <w:t>公司赞助浙江卫视广告费用什么时候确认的，下半年有哪些广告</w:t>
            </w:r>
          </w:p>
          <w:p w14:paraId="667ED014" w14:textId="77777777" w:rsidR="00081D6E" w:rsidRPr="00AA5CEB" w:rsidRDefault="00AA5CEB" w:rsidP="00AA5CE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A5CEB">
              <w:rPr>
                <w:rFonts w:ascii="Times New Roman" w:hAnsi="Times New Roman" w:hint="eastAsia"/>
                <w:b/>
                <w:bCs/>
                <w:sz w:val="24"/>
              </w:rPr>
              <w:t>费用？</w:t>
            </w:r>
          </w:p>
          <w:p w14:paraId="2A018056" w14:textId="2486CE80" w:rsidR="00081D6E" w:rsidRPr="008E7015" w:rsidRDefault="00CA30DA" w:rsidP="00AA5CEB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公司</w:t>
            </w:r>
            <w:r w:rsidRPr="00CA30DA">
              <w:rPr>
                <w:rFonts w:ascii="Times New Roman" w:hAnsi="Times New Roman" w:hint="eastAsia"/>
                <w:sz w:val="24"/>
              </w:rPr>
              <w:t>在</w:t>
            </w:r>
            <w:r>
              <w:rPr>
                <w:rFonts w:ascii="Times New Roman" w:hAnsi="Times New Roman" w:hint="eastAsia"/>
                <w:sz w:val="24"/>
              </w:rPr>
              <w:t>上半年</w:t>
            </w:r>
            <w:r w:rsidR="00FA3474">
              <w:rPr>
                <w:rFonts w:ascii="Times New Roman" w:hAnsi="Times New Roman" w:hint="eastAsia"/>
                <w:sz w:val="24"/>
              </w:rPr>
              <w:t>进行了广告</w:t>
            </w:r>
            <w:r w:rsidRPr="00CA30DA">
              <w:rPr>
                <w:rFonts w:ascii="Times New Roman" w:hAnsi="Times New Roman" w:hint="eastAsia"/>
                <w:sz w:val="24"/>
              </w:rPr>
              <w:t>投放，根据会计准则，在广告受益期</w:t>
            </w:r>
            <w:r>
              <w:rPr>
                <w:rFonts w:ascii="Times New Roman" w:hAnsi="Times New Roman" w:hint="eastAsia"/>
                <w:sz w:val="24"/>
              </w:rPr>
              <w:t>上半年</w:t>
            </w:r>
            <w:r w:rsidRPr="00CA30DA">
              <w:rPr>
                <w:rFonts w:ascii="Times New Roman" w:hAnsi="Times New Roman" w:hint="eastAsia"/>
                <w:sz w:val="24"/>
              </w:rPr>
              <w:t>进行了费用计提。下半年公司将</w:t>
            </w:r>
            <w:proofErr w:type="gramStart"/>
            <w:r w:rsidRPr="00CA30DA">
              <w:rPr>
                <w:rFonts w:ascii="Times New Roman" w:hAnsi="Times New Roman" w:hint="eastAsia"/>
                <w:sz w:val="24"/>
              </w:rPr>
              <w:t>参考快消</w:t>
            </w:r>
            <w:proofErr w:type="gramEnd"/>
            <w:r w:rsidRPr="00CA30DA">
              <w:rPr>
                <w:rFonts w:ascii="Times New Roman" w:hAnsi="Times New Roman" w:hint="eastAsia"/>
                <w:sz w:val="24"/>
              </w:rPr>
              <w:t>品行业广告的投放情况并考虑往终端贴近消费者的场景倾斜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CA30DA">
              <w:rPr>
                <w:rFonts w:ascii="Times New Roman" w:hAnsi="Times New Roman" w:hint="eastAsia"/>
                <w:sz w:val="24"/>
              </w:rPr>
              <w:t>积极扩大品牌影响力，提高市场占有率。</w:t>
            </w:r>
            <w:r w:rsidR="006A6728">
              <w:rPr>
                <w:rFonts w:ascii="Times New Roman" w:hAnsi="Times New Roman" w:hint="eastAsia"/>
                <w:sz w:val="24"/>
              </w:rPr>
              <w:t>今年全年广告费用的投放预计在</w:t>
            </w:r>
            <w:r w:rsidR="006A6728">
              <w:rPr>
                <w:rFonts w:ascii="Times New Roman" w:hAnsi="Times New Roman" w:hint="eastAsia"/>
                <w:sz w:val="24"/>
              </w:rPr>
              <w:t>8000</w:t>
            </w:r>
            <w:r w:rsidR="006A6728">
              <w:rPr>
                <w:rFonts w:ascii="Times New Roman" w:hAnsi="Times New Roman" w:hint="eastAsia"/>
                <w:sz w:val="24"/>
              </w:rPr>
              <w:t>万元到</w:t>
            </w:r>
            <w:r w:rsidR="006A6728">
              <w:rPr>
                <w:rFonts w:ascii="Times New Roman" w:hAnsi="Times New Roman" w:hint="eastAsia"/>
                <w:sz w:val="24"/>
              </w:rPr>
              <w:t>10000</w:t>
            </w:r>
            <w:r w:rsidR="006A6728">
              <w:rPr>
                <w:rFonts w:ascii="Times New Roman" w:hAnsi="Times New Roman" w:hint="eastAsia"/>
                <w:sz w:val="24"/>
              </w:rPr>
              <w:t>万元之间。</w:t>
            </w:r>
          </w:p>
        </w:tc>
      </w:tr>
    </w:tbl>
    <w:p w14:paraId="56F23C2D" w14:textId="77777777" w:rsidR="008A3055" w:rsidRDefault="008A3055" w:rsidP="00EC08A5">
      <w:pPr>
        <w:spacing w:line="276" w:lineRule="auto"/>
        <w:rPr>
          <w:rFonts w:ascii="Times New Roman" w:hAnsi="Times New Roman"/>
        </w:rPr>
      </w:pPr>
    </w:p>
    <w:sectPr w:rsidR="008A3055" w:rsidSect="00FE4E6F">
      <w:pgSz w:w="11906" w:h="16838"/>
      <w:pgMar w:top="993" w:right="1416" w:bottom="993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AAB4" w14:textId="77777777" w:rsidR="00FF6E7F" w:rsidRDefault="00FF6E7F" w:rsidP="00573A35">
      <w:r>
        <w:separator/>
      </w:r>
    </w:p>
  </w:endnote>
  <w:endnote w:type="continuationSeparator" w:id="0">
    <w:p w14:paraId="2BB9C5F8" w14:textId="77777777" w:rsidR="00FF6E7F" w:rsidRDefault="00FF6E7F" w:rsidP="005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D51A" w14:textId="77777777" w:rsidR="00FF6E7F" w:rsidRDefault="00FF6E7F" w:rsidP="00573A35">
      <w:r>
        <w:separator/>
      </w:r>
    </w:p>
  </w:footnote>
  <w:footnote w:type="continuationSeparator" w:id="0">
    <w:p w14:paraId="6160DE92" w14:textId="77777777" w:rsidR="00FF6E7F" w:rsidRDefault="00FF6E7F" w:rsidP="0057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E9C6A1"/>
    <w:multiLevelType w:val="singleLevel"/>
    <w:tmpl w:val="E4E9C6A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0817249"/>
    <w:multiLevelType w:val="hybridMultilevel"/>
    <w:tmpl w:val="042EC08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1CCD109"/>
    <w:multiLevelType w:val="singleLevel"/>
    <w:tmpl w:val="01CCD1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7F31AD3"/>
    <w:multiLevelType w:val="hybridMultilevel"/>
    <w:tmpl w:val="7A0A5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B363E"/>
    <w:multiLevelType w:val="hybridMultilevel"/>
    <w:tmpl w:val="53F8B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DF4CB3"/>
    <w:multiLevelType w:val="hybridMultilevel"/>
    <w:tmpl w:val="3006E382"/>
    <w:lvl w:ilvl="0" w:tplc="4DC8771E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  <w:b/>
        <w:bCs/>
      </w:rPr>
    </w:lvl>
    <w:lvl w:ilvl="1" w:tplc="5AFCCF1A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F3382F"/>
    <w:multiLevelType w:val="hybridMultilevel"/>
    <w:tmpl w:val="A5067758"/>
    <w:lvl w:ilvl="0" w:tplc="A2BC8E4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8A06D23"/>
    <w:multiLevelType w:val="hybridMultilevel"/>
    <w:tmpl w:val="528649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4D11633"/>
    <w:multiLevelType w:val="hybridMultilevel"/>
    <w:tmpl w:val="743C9614"/>
    <w:lvl w:ilvl="0" w:tplc="DD689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C976848"/>
    <w:multiLevelType w:val="hybridMultilevel"/>
    <w:tmpl w:val="D5C21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65457"/>
    <w:multiLevelType w:val="hybridMultilevel"/>
    <w:tmpl w:val="9F503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D773A3"/>
    <w:multiLevelType w:val="hybridMultilevel"/>
    <w:tmpl w:val="C50ABB58"/>
    <w:lvl w:ilvl="0" w:tplc="7B12E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D2549F"/>
    <w:multiLevelType w:val="hybridMultilevel"/>
    <w:tmpl w:val="5C62A30A"/>
    <w:lvl w:ilvl="0" w:tplc="3AB6B638">
      <w:start w:val="1"/>
      <w:numFmt w:val="decimal"/>
      <w:lvlText w:val="%1."/>
      <w:lvlJc w:val="left"/>
      <w:pPr>
        <w:ind w:left="90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5767511"/>
    <w:multiLevelType w:val="hybridMultilevel"/>
    <w:tmpl w:val="B7885FB2"/>
    <w:lvl w:ilvl="0" w:tplc="6AF0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0F6FDC"/>
    <w:multiLevelType w:val="hybridMultilevel"/>
    <w:tmpl w:val="44FC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313D8D"/>
    <w:multiLevelType w:val="hybridMultilevel"/>
    <w:tmpl w:val="1F6A6F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3A0B64"/>
    <w:multiLevelType w:val="hybridMultilevel"/>
    <w:tmpl w:val="616CEA2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 w15:restartNumberingAfterBreak="0">
    <w:nsid w:val="57CD1AD1"/>
    <w:multiLevelType w:val="hybridMultilevel"/>
    <w:tmpl w:val="14C0810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595F699D"/>
    <w:multiLevelType w:val="hybridMultilevel"/>
    <w:tmpl w:val="D26E48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F2E24F9"/>
    <w:multiLevelType w:val="hybridMultilevel"/>
    <w:tmpl w:val="52DC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C04B47"/>
    <w:multiLevelType w:val="hybridMultilevel"/>
    <w:tmpl w:val="F7D678BA"/>
    <w:lvl w:ilvl="0" w:tplc="6BFAAE6C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7D269F"/>
    <w:multiLevelType w:val="hybridMultilevel"/>
    <w:tmpl w:val="D10C6C0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71673D24"/>
    <w:multiLevelType w:val="hybridMultilevel"/>
    <w:tmpl w:val="8404F32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3" w15:restartNumberingAfterBreak="0">
    <w:nsid w:val="72742A8A"/>
    <w:multiLevelType w:val="hybridMultilevel"/>
    <w:tmpl w:val="6D96845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55175F7"/>
    <w:multiLevelType w:val="hybridMultilevel"/>
    <w:tmpl w:val="CE9CE15E"/>
    <w:lvl w:ilvl="0" w:tplc="C7BE3A3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AC300E"/>
    <w:multiLevelType w:val="hybridMultilevel"/>
    <w:tmpl w:val="F732022E"/>
    <w:lvl w:ilvl="0" w:tplc="FA400A6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5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22"/>
  </w:num>
  <w:num w:numId="15">
    <w:abstractNumId w:val="10"/>
  </w:num>
  <w:num w:numId="16">
    <w:abstractNumId w:val="19"/>
  </w:num>
  <w:num w:numId="17">
    <w:abstractNumId w:val="16"/>
  </w:num>
  <w:num w:numId="18">
    <w:abstractNumId w:val="20"/>
  </w:num>
  <w:num w:numId="19">
    <w:abstractNumId w:val="3"/>
  </w:num>
  <w:num w:numId="20">
    <w:abstractNumId w:val="5"/>
  </w:num>
  <w:num w:numId="21">
    <w:abstractNumId w:val="1"/>
  </w:num>
  <w:num w:numId="22">
    <w:abstractNumId w:val="24"/>
  </w:num>
  <w:num w:numId="23">
    <w:abstractNumId w:val="15"/>
  </w:num>
  <w:num w:numId="24">
    <w:abstractNumId w:val="23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4170E1"/>
    <w:rsid w:val="00000952"/>
    <w:rsid w:val="00004196"/>
    <w:rsid w:val="000137FB"/>
    <w:rsid w:val="00016AE5"/>
    <w:rsid w:val="0001709E"/>
    <w:rsid w:val="000203FA"/>
    <w:rsid w:val="0002788D"/>
    <w:rsid w:val="00030CDB"/>
    <w:rsid w:val="00031444"/>
    <w:rsid w:val="00032FB4"/>
    <w:rsid w:val="00044B0D"/>
    <w:rsid w:val="0004508D"/>
    <w:rsid w:val="00046D96"/>
    <w:rsid w:val="00056B49"/>
    <w:rsid w:val="00070D51"/>
    <w:rsid w:val="00076CA4"/>
    <w:rsid w:val="00077A54"/>
    <w:rsid w:val="00080518"/>
    <w:rsid w:val="0008069F"/>
    <w:rsid w:val="00081D6E"/>
    <w:rsid w:val="00082A02"/>
    <w:rsid w:val="0008433B"/>
    <w:rsid w:val="00085C92"/>
    <w:rsid w:val="00093B96"/>
    <w:rsid w:val="000957F3"/>
    <w:rsid w:val="00096A25"/>
    <w:rsid w:val="000A0EF3"/>
    <w:rsid w:val="000A2C4F"/>
    <w:rsid w:val="000A420C"/>
    <w:rsid w:val="000B441A"/>
    <w:rsid w:val="000C08D2"/>
    <w:rsid w:val="000C1B21"/>
    <w:rsid w:val="000C6942"/>
    <w:rsid w:val="000D0F21"/>
    <w:rsid w:val="000D1939"/>
    <w:rsid w:val="000D31EA"/>
    <w:rsid w:val="000D4767"/>
    <w:rsid w:val="000D77DE"/>
    <w:rsid w:val="000E783E"/>
    <w:rsid w:val="000E7F53"/>
    <w:rsid w:val="000F1703"/>
    <w:rsid w:val="000F2586"/>
    <w:rsid w:val="00115585"/>
    <w:rsid w:val="00124FB6"/>
    <w:rsid w:val="00127738"/>
    <w:rsid w:val="00157BBE"/>
    <w:rsid w:val="00157DD2"/>
    <w:rsid w:val="00160527"/>
    <w:rsid w:val="00164438"/>
    <w:rsid w:val="00166AAD"/>
    <w:rsid w:val="00173402"/>
    <w:rsid w:val="001765AC"/>
    <w:rsid w:val="001767DD"/>
    <w:rsid w:val="00177D22"/>
    <w:rsid w:val="001825AB"/>
    <w:rsid w:val="00192E4F"/>
    <w:rsid w:val="001954AB"/>
    <w:rsid w:val="0019570A"/>
    <w:rsid w:val="00195C1E"/>
    <w:rsid w:val="001A16F8"/>
    <w:rsid w:val="001A52F5"/>
    <w:rsid w:val="001B0928"/>
    <w:rsid w:val="001B51C4"/>
    <w:rsid w:val="001C552C"/>
    <w:rsid w:val="001D0577"/>
    <w:rsid w:val="001D2A67"/>
    <w:rsid w:val="001D3A95"/>
    <w:rsid w:val="001D3F6B"/>
    <w:rsid w:val="001D666E"/>
    <w:rsid w:val="001E5E3E"/>
    <w:rsid w:val="001E7A44"/>
    <w:rsid w:val="001F615D"/>
    <w:rsid w:val="00202FC0"/>
    <w:rsid w:val="00210439"/>
    <w:rsid w:val="00216B11"/>
    <w:rsid w:val="002228D2"/>
    <w:rsid w:val="002307BE"/>
    <w:rsid w:val="00233F54"/>
    <w:rsid w:val="002363FD"/>
    <w:rsid w:val="002409BB"/>
    <w:rsid w:val="00245F1C"/>
    <w:rsid w:val="002463FA"/>
    <w:rsid w:val="00246BE3"/>
    <w:rsid w:val="002473C5"/>
    <w:rsid w:val="0025004F"/>
    <w:rsid w:val="00253424"/>
    <w:rsid w:val="002558C1"/>
    <w:rsid w:val="00264200"/>
    <w:rsid w:val="00264F82"/>
    <w:rsid w:val="00267115"/>
    <w:rsid w:val="00276116"/>
    <w:rsid w:val="00282D5D"/>
    <w:rsid w:val="00284BFE"/>
    <w:rsid w:val="00295235"/>
    <w:rsid w:val="002B0F0E"/>
    <w:rsid w:val="002C622C"/>
    <w:rsid w:val="002D1FA8"/>
    <w:rsid w:val="002E2416"/>
    <w:rsid w:val="002E3A4A"/>
    <w:rsid w:val="002E77D0"/>
    <w:rsid w:val="002F4DAF"/>
    <w:rsid w:val="00306258"/>
    <w:rsid w:val="00306E5F"/>
    <w:rsid w:val="003103D7"/>
    <w:rsid w:val="00310476"/>
    <w:rsid w:val="00312B8D"/>
    <w:rsid w:val="00314CE7"/>
    <w:rsid w:val="0031630D"/>
    <w:rsid w:val="00321E3B"/>
    <w:rsid w:val="003277C1"/>
    <w:rsid w:val="003324F3"/>
    <w:rsid w:val="003361B6"/>
    <w:rsid w:val="00341972"/>
    <w:rsid w:val="00342A17"/>
    <w:rsid w:val="00345E87"/>
    <w:rsid w:val="003463BE"/>
    <w:rsid w:val="00346936"/>
    <w:rsid w:val="00352682"/>
    <w:rsid w:val="00352B09"/>
    <w:rsid w:val="003642A8"/>
    <w:rsid w:val="00364F31"/>
    <w:rsid w:val="00377D95"/>
    <w:rsid w:val="00380D45"/>
    <w:rsid w:val="00381B8E"/>
    <w:rsid w:val="00382792"/>
    <w:rsid w:val="003869BC"/>
    <w:rsid w:val="00391621"/>
    <w:rsid w:val="0039643C"/>
    <w:rsid w:val="00397234"/>
    <w:rsid w:val="003A07B7"/>
    <w:rsid w:val="003A1814"/>
    <w:rsid w:val="003A1C2A"/>
    <w:rsid w:val="003A3980"/>
    <w:rsid w:val="003A44B5"/>
    <w:rsid w:val="003B21A8"/>
    <w:rsid w:val="003B75B8"/>
    <w:rsid w:val="003C2414"/>
    <w:rsid w:val="003C4396"/>
    <w:rsid w:val="003D5B2B"/>
    <w:rsid w:val="003D6567"/>
    <w:rsid w:val="003E57C4"/>
    <w:rsid w:val="003F2406"/>
    <w:rsid w:val="003F2B43"/>
    <w:rsid w:val="003F32C8"/>
    <w:rsid w:val="00400488"/>
    <w:rsid w:val="0040718D"/>
    <w:rsid w:val="00407707"/>
    <w:rsid w:val="00414548"/>
    <w:rsid w:val="00416FD3"/>
    <w:rsid w:val="004239A5"/>
    <w:rsid w:val="00425EC6"/>
    <w:rsid w:val="0042718D"/>
    <w:rsid w:val="00427E54"/>
    <w:rsid w:val="00430512"/>
    <w:rsid w:val="00433B46"/>
    <w:rsid w:val="0043446E"/>
    <w:rsid w:val="00436CDD"/>
    <w:rsid w:val="004453A8"/>
    <w:rsid w:val="004453C4"/>
    <w:rsid w:val="00452303"/>
    <w:rsid w:val="004545AE"/>
    <w:rsid w:val="00457D5C"/>
    <w:rsid w:val="004606BB"/>
    <w:rsid w:val="00462DFC"/>
    <w:rsid w:val="00463304"/>
    <w:rsid w:val="00465163"/>
    <w:rsid w:val="00467399"/>
    <w:rsid w:val="0047007B"/>
    <w:rsid w:val="00475486"/>
    <w:rsid w:val="0048165B"/>
    <w:rsid w:val="00484997"/>
    <w:rsid w:val="00486B0E"/>
    <w:rsid w:val="00490714"/>
    <w:rsid w:val="00491BA3"/>
    <w:rsid w:val="00497089"/>
    <w:rsid w:val="004A4C8E"/>
    <w:rsid w:val="004B4AC4"/>
    <w:rsid w:val="004B558D"/>
    <w:rsid w:val="004C07E2"/>
    <w:rsid w:val="004C1966"/>
    <w:rsid w:val="004D368F"/>
    <w:rsid w:val="004D54A2"/>
    <w:rsid w:val="004D6308"/>
    <w:rsid w:val="004E448F"/>
    <w:rsid w:val="004E5C7C"/>
    <w:rsid w:val="004F128D"/>
    <w:rsid w:val="004F21F6"/>
    <w:rsid w:val="004F2795"/>
    <w:rsid w:val="00504894"/>
    <w:rsid w:val="00511375"/>
    <w:rsid w:val="00513EB0"/>
    <w:rsid w:val="00517727"/>
    <w:rsid w:val="005179AD"/>
    <w:rsid w:val="00523AEA"/>
    <w:rsid w:val="005244DA"/>
    <w:rsid w:val="00535A5C"/>
    <w:rsid w:val="00551F52"/>
    <w:rsid w:val="005571D3"/>
    <w:rsid w:val="00557B59"/>
    <w:rsid w:val="005608CA"/>
    <w:rsid w:val="005613F1"/>
    <w:rsid w:val="00565526"/>
    <w:rsid w:val="00573A35"/>
    <w:rsid w:val="00574062"/>
    <w:rsid w:val="0058079B"/>
    <w:rsid w:val="005830ED"/>
    <w:rsid w:val="00590FAB"/>
    <w:rsid w:val="005B1F4F"/>
    <w:rsid w:val="005B2E1C"/>
    <w:rsid w:val="005B3E69"/>
    <w:rsid w:val="005C3655"/>
    <w:rsid w:val="005C54FC"/>
    <w:rsid w:val="005D183C"/>
    <w:rsid w:val="005D465A"/>
    <w:rsid w:val="005D4787"/>
    <w:rsid w:val="005E5012"/>
    <w:rsid w:val="00602259"/>
    <w:rsid w:val="006033E3"/>
    <w:rsid w:val="00606796"/>
    <w:rsid w:val="00611883"/>
    <w:rsid w:val="00612040"/>
    <w:rsid w:val="006161FB"/>
    <w:rsid w:val="0062220A"/>
    <w:rsid w:val="00624B72"/>
    <w:rsid w:val="006254DF"/>
    <w:rsid w:val="00626184"/>
    <w:rsid w:val="0062714F"/>
    <w:rsid w:val="0063671A"/>
    <w:rsid w:val="00636B92"/>
    <w:rsid w:val="00647828"/>
    <w:rsid w:val="006515A6"/>
    <w:rsid w:val="00651E9C"/>
    <w:rsid w:val="00660DCB"/>
    <w:rsid w:val="00663581"/>
    <w:rsid w:val="00666BBC"/>
    <w:rsid w:val="00687A3E"/>
    <w:rsid w:val="0069036D"/>
    <w:rsid w:val="00694014"/>
    <w:rsid w:val="006942B6"/>
    <w:rsid w:val="0069687D"/>
    <w:rsid w:val="006A54C0"/>
    <w:rsid w:val="006A6728"/>
    <w:rsid w:val="006A6CF4"/>
    <w:rsid w:val="006B3484"/>
    <w:rsid w:val="006B7378"/>
    <w:rsid w:val="006B747D"/>
    <w:rsid w:val="006C0393"/>
    <w:rsid w:val="006C37E2"/>
    <w:rsid w:val="006C52A5"/>
    <w:rsid w:val="006D153E"/>
    <w:rsid w:val="006D3C78"/>
    <w:rsid w:val="006D68D7"/>
    <w:rsid w:val="006D6911"/>
    <w:rsid w:val="006E15D1"/>
    <w:rsid w:val="006E1670"/>
    <w:rsid w:val="006E4FC2"/>
    <w:rsid w:val="006E56BF"/>
    <w:rsid w:val="006F06EB"/>
    <w:rsid w:val="006F2B39"/>
    <w:rsid w:val="006F3CFC"/>
    <w:rsid w:val="006F41C2"/>
    <w:rsid w:val="006F5B6E"/>
    <w:rsid w:val="006F5BB6"/>
    <w:rsid w:val="006F66E4"/>
    <w:rsid w:val="006F6E7D"/>
    <w:rsid w:val="007015DC"/>
    <w:rsid w:val="00701A20"/>
    <w:rsid w:val="00701B19"/>
    <w:rsid w:val="00715B85"/>
    <w:rsid w:val="00733B27"/>
    <w:rsid w:val="00735C69"/>
    <w:rsid w:val="00742599"/>
    <w:rsid w:val="007432BB"/>
    <w:rsid w:val="007436FD"/>
    <w:rsid w:val="00743C75"/>
    <w:rsid w:val="007449B2"/>
    <w:rsid w:val="00751B1A"/>
    <w:rsid w:val="00761349"/>
    <w:rsid w:val="00765EED"/>
    <w:rsid w:val="0077036B"/>
    <w:rsid w:val="0077145E"/>
    <w:rsid w:val="00774D6E"/>
    <w:rsid w:val="00780A38"/>
    <w:rsid w:val="00787C2A"/>
    <w:rsid w:val="00793392"/>
    <w:rsid w:val="007A2FD3"/>
    <w:rsid w:val="007B6DF7"/>
    <w:rsid w:val="007B6FCD"/>
    <w:rsid w:val="007C03CD"/>
    <w:rsid w:val="007C175C"/>
    <w:rsid w:val="007C3752"/>
    <w:rsid w:val="007D1DFB"/>
    <w:rsid w:val="007E108E"/>
    <w:rsid w:val="007F4484"/>
    <w:rsid w:val="007F5DF9"/>
    <w:rsid w:val="007F709E"/>
    <w:rsid w:val="008040CC"/>
    <w:rsid w:val="008054F7"/>
    <w:rsid w:val="00805A06"/>
    <w:rsid w:val="00811635"/>
    <w:rsid w:val="008144D3"/>
    <w:rsid w:val="00820AB9"/>
    <w:rsid w:val="00827A74"/>
    <w:rsid w:val="0083408C"/>
    <w:rsid w:val="0084174A"/>
    <w:rsid w:val="00841892"/>
    <w:rsid w:val="00843827"/>
    <w:rsid w:val="00845233"/>
    <w:rsid w:val="00847382"/>
    <w:rsid w:val="0085516E"/>
    <w:rsid w:val="00855938"/>
    <w:rsid w:val="008620F6"/>
    <w:rsid w:val="008632A0"/>
    <w:rsid w:val="00866C97"/>
    <w:rsid w:val="00872C51"/>
    <w:rsid w:val="00873AC7"/>
    <w:rsid w:val="00875C91"/>
    <w:rsid w:val="0088111E"/>
    <w:rsid w:val="00881FFD"/>
    <w:rsid w:val="00882F66"/>
    <w:rsid w:val="00884467"/>
    <w:rsid w:val="00885A35"/>
    <w:rsid w:val="0088624E"/>
    <w:rsid w:val="00895DCE"/>
    <w:rsid w:val="008A3055"/>
    <w:rsid w:val="008A3D3B"/>
    <w:rsid w:val="008A60D1"/>
    <w:rsid w:val="008B3398"/>
    <w:rsid w:val="008B3622"/>
    <w:rsid w:val="008B4E4F"/>
    <w:rsid w:val="008C0DC5"/>
    <w:rsid w:val="008C1F22"/>
    <w:rsid w:val="008C46C7"/>
    <w:rsid w:val="008C46FD"/>
    <w:rsid w:val="008D1461"/>
    <w:rsid w:val="008E0832"/>
    <w:rsid w:val="008E5C93"/>
    <w:rsid w:val="008E7015"/>
    <w:rsid w:val="008F50B8"/>
    <w:rsid w:val="00900E8B"/>
    <w:rsid w:val="009021FF"/>
    <w:rsid w:val="00907582"/>
    <w:rsid w:val="0091351C"/>
    <w:rsid w:val="009143C1"/>
    <w:rsid w:val="00914687"/>
    <w:rsid w:val="00915838"/>
    <w:rsid w:val="00921FBA"/>
    <w:rsid w:val="00924CC6"/>
    <w:rsid w:val="00940A03"/>
    <w:rsid w:val="00940CD7"/>
    <w:rsid w:val="00943ED8"/>
    <w:rsid w:val="0094511A"/>
    <w:rsid w:val="00950BD6"/>
    <w:rsid w:val="00952341"/>
    <w:rsid w:val="00952A6A"/>
    <w:rsid w:val="00953B23"/>
    <w:rsid w:val="0095522F"/>
    <w:rsid w:val="00964F6A"/>
    <w:rsid w:val="009757C0"/>
    <w:rsid w:val="00990F63"/>
    <w:rsid w:val="00993B50"/>
    <w:rsid w:val="00993C83"/>
    <w:rsid w:val="009A345D"/>
    <w:rsid w:val="009B3F1B"/>
    <w:rsid w:val="009B6DF3"/>
    <w:rsid w:val="009C0954"/>
    <w:rsid w:val="009C174D"/>
    <w:rsid w:val="009C3555"/>
    <w:rsid w:val="009D73E9"/>
    <w:rsid w:val="009E79A5"/>
    <w:rsid w:val="009F1293"/>
    <w:rsid w:val="00A02ED6"/>
    <w:rsid w:val="00A05C2B"/>
    <w:rsid w:val="00A07574"/>
    <w:rsid w:val="00A12914"/>
    <w:rsid w:val="00A17A8A"/>
    <w:rsid w:val="00A23E21"/>
    <w:rsid w:val="00A24102"/>
    <w:rsid w:val="00A332F9"/>
    <w:rsid w:val="00A37F8A"/>
    <w:rsid w:val="00A41035"/>
    <w:rsid w:val="00A44106"/>
    <w:rsid w:val="00A4607E"/>
    <w:rsid w:val="00A55EC9"/>
    <w:rsid w:val="00A573A1"/>
    <w:rsid w:val="00A6218E"/>
    <w:rsid w:val="00A63369"/>
    <w:rsid w:val="00A6752D"/>
    <w:rsid w:val="00A6771A"/>
    <w:rsid w:val="00A722FC"/>
    <w:rsid w:val="00A87CEB"/>
    <w:rsid w:val="00A91FBE"/>
    <w:rsid w:val="00A928A2"/>
    <w:rsid w:val="00A9507D"/>
    <w:rsid w:val="00AA1535"/>
    <w:rsid w:val="00AA31A7"/>
    <w:rsid w:val="00AA5036"/>
    <w:rsid w:val="00AA5CEB"/>
    <w:rsid w:val="00AB2F8D"/>
    <w:rsid w:val="00AB5BD3"/>
    <w:rsid w:val="00AC123E"/>
    <w:rsid w:val="00AC464E"/>
    <w:rsid w:val="00AC5F67"/>
    <w:rsid w:val="00AD21C6"/>
    <w:rsid w:val="00AD5A74"/>
    <w:rsid w:val="00AE0238"/>
    <w:rsid w:val="00AE2672"/>
    <w:rsid w:val="00AE59F5"/>
    <w:rsid w:val="00AE6293"/>
    <w:rsid w:val="00AE7921"/>
    <w:rsid w:val="00AF1EF3"/>
    <w:rsid w:val="00AF2E6F"/>
    <w:rsid w:val="00AF3F78"/>
    <w:rsid w:val="00AF78E5"/>
    <w:rsid w:val="00B00FF6"/>
    <w:rsid w:val="00B05FA2"/>
    <w:rsid w:val="00B0669E"/>
    <w:rsid w:val="00B13B05"/>
    <w:rsid w:val="00B20869"/>
    <w:rsid w:val="00B33768"/>
    <w:rsid w:val="00B3673E"/>
    <w:rsid w:val="00B367F1"/>
    <w:rsid w:val="00B37EE3"/>
    <w:rsid w:val="00B4197D"/>
    <w:rsid w:val="00B433CF"/>
    <w:rsid w:val="00B509C3"/>
    <w:rsid w:val="00B5354A"/>
    <w:rsid w:val="00B70018"/>
    <w:rsid w:val="00B733C5"/>
    <w:rsid w:val="00B77CD4"/>
    <w:rsid w:val="00B846D1"/>
    <w:rsid w:val="00B91022"/>
    <w:rsid w:val="00B91AC5"/>
    <w:rsid w:val="00B9206F"/>
    <w:rsid w:val="00B94F1C"/>
    <w:rsid w:val="00B958C5"/>
    <w:rsid w:val="00B95E04"/>
    <w:rsid w:val="00BA0595"/>
    <w:rsid w:val="00BA1E43"/>
    <w:rsid w:val="00BA45C7"/>
    <w:rsid w:val="00BA4B13"/>
    <w:rsid w:val="00BB0211"/>
    <w:rsid w:val="00BB1EE0"/>
    <w:rsid w:val="00BB3CD8"/>
    <w:rsid w:val="00BC002C"/>
    <w:rsid w:val="00BC1391"/>
    <w:rsid w:val="00BC1C82"/>
    <w:rsid w:val="00BC1F21"/>
    <w:rsid w:val="00BD5862"/>
    <w:rsid w:val="00BD6BF8"/>
    <w:rsid w:val="00BD7AD8"/>
    <w:rsid w:val="00BE0119"/>
    <w:rsid w:val="00BE57C5"/>
    <w:rsid w:val="00BF196D"/>
    <w:rsid w:val="00BF50C8"/>
    <w:rsid w:val="00C03E5B"/>
    <w:rsid w:val="00C04218"/>
    <w:rsid w:val="00C054D9"/>
    <w:rsid w:val="00C117FD"/>
    <w:rsid w:val="00C12EB2"/>
    <w:rsid w:val="00C1621D"/>
    <w:rsid w:val="00C20F0F"/>
    <w:rsid w:val="00C320E8"/>
    <w:rsid w:val="00C3411A"/>
    <w:rsid w:val="00C371EA"/>
    <w:rsid w:val="00C4694A"/>
    <w:rsid w:val="00C51810"/>
    <w:rsid w:val="00C51D95"/>
    <w:rsid w:val="00C52497"/>
    <w:rsid w:val="00C54BFD"/>
    <w:rsid w:val="00C6232C"/>
    <w:rsid w:val="00C64B5B"/>
    <w:rsid w:val="00C74D27"/>
    <w:rsid w:val="00C83833"/>
    <w:rsid w:val="00C83C50"/>
    <w:rsid w:val="00C874E3"/>
    <w:rsid w:val="00C96D9C"/>
    <w:rsid w:val="00C97C2F"/>
    <w:rsid w:val="00CA30DA"/>
    <w:rsid w:val="00CA322F"/>
    <w:rsid w:val="00CB4E26"/>
    <w:rsid w:val="00CC0896"/>
    <w:rsid w:val="00CC0DD1"/>
    <w:rsid w:val="00CC65BD"/>
    <w:rsid w:val="00CD5FDA"/>
    <w:rsid w:val="00CE0514"/>
    <w:rsid w:val="00CE200A"/>
    <w:rsid w:val="00CE295F"/>
    <w:rsid w:val="00CE4667"/>
    <w:rsid w:val="00CE5CF4"/>
    <w:rsid w:val="00CE6A94"/>
    <w:rsid w:val="00CF2BE9"/>
    <w:rsid w:val="00CF3B07"/>
    <w:rsid w:val="00CF66B1"/>
    <w:rsid w:val="00D0039A"/>
    <w:rsid w:val="00D005C5"/>
    <w:rsid w:val="00D0397B"/>
    <w:rsid w:val="00D04C90"/>
    <w:rsid w:val="00D05DBE"/>
    <w:rsid w:val="00D117C6"/>
    <w:rsid w:val="00D234C2"/>
    <w:rsid w:val="00D237A3"/>
    <w:rsid w:val="00D3140E"/>
    <w:rsid w:val="00D40023"/>
    <w:rsid w:val="00D4046B"/>
    <w:rsid w:val="00D47432"/>
    <w:rsid w:val="00D50B64"/>
    <w:rsid w:val="00D53821"/>
    <w:rsid w:val="00D56BC7"/>
    <w:rsid w:val="00D6053A"/>
    <w:rsid w:val="00D64781"/>
    <w:rsid w:val="00D80443"/>
    <w:rsid w:val="00D81C3C"/>
    <w:rsid w:val="00D81DBA"/>
    <w:rsid w:val="00D84278"/>
    <w:rsid w:val="00D84F10"/>
    <w:rsid w:val="00DA0477"/>
    <w:rsid w:val="00DA2535"/>
    <w:rsid w:val="00DA3282"/>
    <w:rsid w:val="00DB1FE7"/>
    <w:rsid w:val="00DB2437"/>
    <w:rsid w:val="00DB281C"/>
    <w:rsid w:val="00DB4C11"/>
    <w:rsid w:val="00DB5A1C"/>
    <w:rsid w:val="00DB5F24"/>
    <w:rsid w:val="00DB742B"/>
    <w:rsid w:val="00DC2019"/>
    <w:rsid w:val="00DC47A9"/>
    <w:rsid w:val="00DC5864"/>
    <w:rsid w:val="00DE67A6"/>
    <w:rsid w:val="00DE7990"/>
    <w:rsid w:val="00DF7C1E"/>
    <w:rsid w:val="00E119F0"/>
    <w:rsid w:val="00E200E2"/>
    <w:rsid w:val="00E24F43"/>
    <w:rsid w:val="00E44A8A"/>
    <w:rsid w:val="00E46113"/>
    <w:rsid w:val="00E51F52"/>
    <w:rsid w:val="00E526D5"/>
    <w:rsid w:val="00E57389"/>
    <w:rsid w:val="00E60112"/>
    <w:rsid w:val="00E6377E"/>
    <w:rsid w:val="00E71EB4"/>
    <w:rsid w:val="00E72E18"/>
    <w:rsid w:val="00E759C7"/>
    <w:rsid w:val="00E770C6"/>
    <w:rsid w:val="00E8442E"/>
    <w:rsid w:val="00E879AD"/>
    <w:rsid w:val="00E87E65"/>
    <w:rsid w:val="00E90E44"/>
    <w:rsid w:val="00E930C9"/>
    <w:rsid w:val="00E94C39"/>
    <w:rsid w:val="00EA008E"/>
    <w:rsid w:val="00EB2653"/>
    <w:rsid w:val="00EB2A44"/>
    <w:rsid w:val="00EB5D1E"/>
    <w:rsid w:val="00EC08A5"/>
    <w:rsid w:val="00EC3792"/>
    <w:rsid w:val="00EE1A88"/>
    <w:rsid w:val="00EF3121"/>
    <w:rsid w:val="00F0144D"/>
    <w:rsid w:val="00F068A1"/>
    <w:rsid w:val="00F15A6E"/>
    <w:rsid w:val="00F16625"/>
    <w:rsid w:val="00F16676"/>
    <w:rsid w:val="00F21A2C"/>
    <w:rsid w:val="00F24024"/>
    <w:rsid w:val="00F24FA6"/>
    <w:rsid w:val="00F3621B"/>
    <w:rsid w:val="00F47439"/>
    <w:rsid w:val="00F54BB3"/>
    <w:rsid w:val="00F627B3"/>
    <w:rsid w:val="00F62BAC"/>
    <w:rsid w:val="00F67460"/>
    <w:rsid w:val="00F7610A"/>
    <w:rsid w:val="00F81631"/>
    <w:rsid w:val="00F82C25"/>
    <w:rsid w:val="00F85F05"/>
    <w:rsid w:val="00F95CEE"/>
    <w:rsid w:val="00FA3474"/>
    <w:rsid w:val="00FA3B80"/>
    <w:rsid w:val="00FA6E22"/>
    <w:rsid w:val="00FB1BEC"/>
    <w:rsid w:val="00FB238A"/>
    <w:rsid w:val="00FB7EC9"/>
    <w:rsid w:val="00FC3159"/>
    <w:rsid w:val="00FC3BCA"/>
    <w:rsid w:val="00FD08B3"/>
    <w:rsid w:val="00FE4E6F"/>
    <w:rsid w:val="00FE6399"/>
    <w:rsid w:val="00FF343F"/>
    <w:rsid w:val="00FF6D6E"/>
    <w:rsid w:val="00FF6E7F"/>
    <w:rsid w:val="00FF7275"/>
    <w:rsid w:val="00FF7D5D"/>
    <w:rsid w:val="0A0323F2"/>
    <w:rsid w:val="299D4A37"/>
    <w:rsid w:val="30442D60"/>
    <w:rsid w:val="325C3185"/>
    <w:rsid w:val="36EC6BF2"/>
    <w:rsid w:val="42901689"/>
    <w:rsid w:val="5A4E4232"/>
    <w:rsid w:val="7441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EDED4"/>
  <w15:docId w15:val="{0672C18A-693A-4629-BD8B-C1EE490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A30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A3055"/>
    <w:pPr>
      <w:ind w:firstLineChars="200" w:firstLine="420"/>
    </w:pPr>
  </w:style>
  <w:style w:type="paragraph" w:customStyle="1" w:styleId="IPO">
    <w:name w:val="IPO正文"/>
    <w:basedOn w:val="a"/>
    <w:qFormat/>
    <w:rsid w:val="008A3055"/>
    <w:pPr>
      <w:snapToGrid w:val="0"/>
      <w:spacing w:beforeLines="50" w:afterLines="50"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header"/>
    <w:basedOn w:val="a"/>
    <w:link w:val="a5"/>
    <w:unhideWhenUsed/>
    <w:rsid w:val="005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3A35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3A35"/>
    <w:rPr>
      <w:kern w:val="2"/>
      <w:sz w:val="18"/>
      <w:szCs w:val="18"/>
    </w:rPr>
  </w:style>
  <w:style w:type="table" w:styleId="a8">
    <w:name w:val="Table Grid"/>
    <w:basedOn w:val="a1"/>
    <w:rsid w:val="008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普通 (Web)"/>
    <w:basedOn w:val="a"/>
    <w:uiPriority w:val="39"/>
    <w:qFormat/>
    <w:rsid w:val="00AE26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浅色1"/>
    <w:basedOn w:val="a1"/>
    <w:uiPriority w:val="40"/>
    <w:rsid w:val="008551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rsid w:val="008040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semiHidden/>
    <w:unhideWhenUsed/>
    <w:rsid w:val="00FB7EC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B7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5E9097-432B-415A-87F0-4AB3F2544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332</Words>
  <Characters>1896</Characters>
  <Application>Microsoft Office Word</Application>
  <DocSecurity>0</DocSecurity>
  <Lines>15</Lines>
  <Paragraphs>4</Paragraphs>
  <ScaleCrop>false</ScaleCrop>
  <Company>。。。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SuoLIU</cp:lastModifiedBy>
  <cp:revision>49</cp:revision>
  <dcterms:created xsi:type="dcterms:W3CDTF">2021-06-04T03:24:00Z</dcterms:created>
  <dcterms:modified xsi:type="dcterms:W3CDTF">2021-09-01T01:11:00Z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