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>
      <w:pPr>
        <w:spacing w:beforeLines="50" w:afterLines="50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投资者调研活动记录表</w:t>
      </w:r>
    </w:p>
    <w:p>
      <w:pPr>
        <w:spacing w:beforeLines="50" w:afterLines="5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证券代码：603317                                          证券简称：天味食品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活动类型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Style w:val="10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特定对象调研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分析师会议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媒体采访</w:t>
            </w:r>
            <w:r>
              <w:rPr>
                <w:rFonts w:ascii="Wingdings 2" w:hAnsi="Wingdings 2" w:eastAsia="Wingdings 2" w:cs="Wingdings 2"/>
                <w:color w:val="000000"/>
                <w:sz w:val="24"/>
              </w:rPr>
              <w:sym w:font="Wingdings 2" w:char="0052"/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业绩说明会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新闻发布会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路演活动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现场参观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电话通讯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1"/>
                <w:rFonts w:hint="default" w:asci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接待对象类型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机构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个人</w:t>
            </w:r>
            <w:r>
              <w:rPr>
                <w:rStyle w:val="10"/>
                <w:sz w:val="24"/>
                <w:szCs w:val="24"/>
              </w:rPr>
              <w:t>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  <w:highlight w:val="none"/>
              </w:rPr>
              <w:t>参与单位名称及人员姓名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天风证券、长江证券、国盛证券、中泰证券、太平洋证券、银河证券</w:t>
            </w:r>
            <w:r>
              <w:rPr>
                <w:rFonts w:hint="eastAsia" w:ascii="Times New Roman" w:hAnsi="Times New Roman" w:eastAsia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西部</w:t>
            </w:r>
            <w:r>
              <w:rPr>
                <w:rFonts w:hint="eastAsia" w:ascii="Times New Roman" w:hAnsi="Times New Roman" w:eastAsiaTheme="minorEastAsia"/>
                <w:sz w:val="24"/>
              </w:rPr>
              <w:t>证券、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方正证券、光大证券、国金证券、华宝基金、长信</w:t>
            </w:r>
            <w:r>
              <w:rPr>
                <w:rFonts w:hint="eastAsia" w:ascii="Times New Roman" w:hAnsi="Times New Roman" w:eastAsiaTheme="minorEastAsia"/>
                <w:sz w:val="24"/>
              </w:rPr>
              <w:t>基金、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东证资管、南方基金</w:t>
            </w:r>
            <w:r>
              <w:rPr>
                <w:rFonts w:hint="eastAsia" w:ascii="Times New Roman" w:hAnsi="Times New Roman" w:eastAsiaTheme="minorEastAsia"/>
                <w:sz w:val="24"/>
              </w:rPr>
              <w:t>等机构投资者及个人投资者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时间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Theme="minorEastAsia"/>
                <w:sz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</w:rPr>
              <w:t>20</w:t>
            </w:r>
            <w:r>
              <w:rPr>
                <w:rFonts w:hint="eastAsia" w:ascii="Times New Roman" w:hAnsi="Times New Roman" w:eastAsiaTheme="minorEastAsia"/>
                <w:sz w:val="24"/>
              </w:rPr>
              <w:t>22年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Theme="minorEastAsia"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地点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线上交流平台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上市公司接待人员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Theme="minorEastAsia" w:eastAsiaTheme="minorEastAsia"/>
                <w:sz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</w:rPr>
              <w:t>副总裁</w:t>
            </w:r>
            <w:r>
              <w:rPr>
                <w:rFonts w:hint="eastAsia" w:ascii="Times New Roman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Theme="minorEastAsia" w:eastAsiaTheme="minorEastAsia"/>
                <w:sz w:val="24"/>
              </w:rPr>
              <w:t>董事会秘书</w:t>
            </w:r>
            <w:r>
              <w:rPr>
                <w:rFonts w:hint="eastAsia" w:ascii="Times New Roman" w:hAnsiTheme="minorEastAsia" w:eastAsiaTheme="minorEastAsia"/>
                <w:sz w:val="24"/>
                <w:lang w:val="en-US" w:eastAsia="zh-CN"/>
              </w:rPr>
              <w:t>兼财务总监</w:t>
            </w:r>
            <w:r>
              <w:rPr>
                <w:rFonts w:hint="eastAsia" w:ascii="Times New Roman" w:hAnsiTheme="minorEastAsia" w:eastAsiaTheme="minorEastAsia"/>
                <w:sz w:val="24"/>
              </w:rPr>
              <w:t>何昌军先生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活动主要内容介绍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Chars="0" w:firstLine="0" w:firstLineChars="0"/>
              <w:rPr>
                <w:rFonts w:ascii="Times New Roman" w:hAnsi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highlight w:val="none"/>
                <w:lang w:val="en-US" w:eastAsia="zh-CN"/>
              </w:rPr>
              <w:t>介绍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highlight w:val="none"/>
              </w:rPr>
              <w:t>公司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highlight w:val="none"/>
                <w:lang w:val="en-US" w:eastAsia="zh-CN"/>
              </w:rPr>
              <w:t>2022年半年度经营情况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default" w:ascii="Times New Roman" w:hAnsi="Times New Roman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2022年上半年</w:t>
            </w:r>
            <w:r>
              <w:rPr>
                <w:rFonts w:hint="eastAsia" w:ascii="Times New Roman" w:hAnsi="Times New Roman"/>
                <w:sz w:val="24"/>
                <w:szCs w:val="22"/>
              </w:rPr>
              <w:t>，公司总收入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12.14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亿元，同比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增长19.44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%；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归母</w:t>
            </w:r>
            <w:r>
              <w:rPr>
                <w:rFonts w:hint="eastAsia" w:ascii="Times New Roman" w:hAnsi="Times New Roman"/>
                <w:sz w:val="24"/>
                <w:szCs w:val="22"/>
              </w:rPr>
              <w:t>净利润1.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66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亿元，同比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增长119.61</w:t>
            </w:r>
            <w:r>
              <w:rPr>
                <w:rFonts w:hint="eastAsia" w:ascii="Times New Roman" w:hAnsi="Times New Roman"/>
                <w:sz w:val="24"/>
                <w:szCs w:val="22"/>
              </w:rPr>
              <w:t>%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4"/>
                <w:szCs w:val="22"/>
              </w:rPr>
              <w:t>毛利率35.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%，较去年同期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增加</w:t>
            </w:r>
            <w:r>
              <w:rPr>
                <w:rFonts w:hint="eastAsia" w:ascii="Times New Roman" w:hAnsi="Times New Roman"/>
                <w:sz w:val="24"/>
                <w:szCs w:val="22"/>
              </w:rPr>
              <w:t>0.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99</w:t>
            </w:r>
            <w:r>
              <w:rPr>
                <w:rFonts w:hint="eastAsia" w:ascii="Times New Roman" w:hAnsi="Times New Roman"/>
                <w:sz w:val="24"/>
                <w:szCs w:val="22"/>
              </w:rPr>
              <w:t>个百分点。经销商3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228</w:t>
            </w:r>
            <w:r>
              <w:rPr>
                <w:rFonts w:hint="eastAsia" w:ascii="Times New Roman" w:hAnsi="Times New Roman"/>
                <w:sz w:val="24"/>
                <w:szCs w:val="22"/>
              </w:rPr>
              <w:t>家，减少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181</w:t>
            </w:r>
            <w:r>
              <w:rPr>
                <w:rFonts w:hint="eastAsia" w:ascii="Times New Roman" w:hAnsi="Times New Roman"/>
                <w:sz w:val="24"/>
                <w:szCs w:val="22"/>
              </w:rPr>
              <w:t>家。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公司推出了优商扶商的经销商分级运营模式，在优商策略方面采取了精细化运营，也对部分经销商进行了优化。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20" w:firstLineChars="175"/>
              <w:rPr>
                <w:rFonts w:hint="eastAsia" w:ascii="Times New Roman" w:hAnsi="Times New Roman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收入按产品分类，火锅调料和中式菜品调料收入共计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11.37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亿元，火锅调料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4.8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亿元，占比3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9.54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%，同比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增长10.63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%；中式菜品调料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6.57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亿元，占比5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4.17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%，同比增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长24.56</w:t>
            </w:r>
            <w:r>
              <w:rPr>
                <w:rFonts w:hint="eastAsia" w:ascii="Times New Roman" w:hAnsi="Times New Roman"/>
                <w:sz w:val="24"/>
                <w:szCs w:val="22"/>
              </w:rPr>
              <w:t>%。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20" w:firstLineChars="175"/>
              <w:rPr>
                <w:rFonts w:hint="eastAsia" w:ascii="Times New Roman" w:hAnsi="Times New Roman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收入按渠道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分类</w:t>
            </w:r>
            <w:r>
              <w:rPr>
                <w:rFonts w:hint="eastAsia" w:ascii="Times New Roman" w:hAnsi="Times New Roman"/>
                <w:sz w:val="24"/>
                <w:szCs w:val="22"/>
              </w:rPr>
              <w:t>，经销商渠道收入为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9.98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亿元，同比增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长</w:t>
            </w:r>
            <w:r>
              <w:rPr>
                <w:rFonts w:hint="eastAsia" w:ascii="Times New Roman" w:hAnsi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2.64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%，占比8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2.30</w:t>
            </w:r>
            <w:r>
              <w:rPr>
                <w:rFonts w:hint="eastAsia" w:ascii="Times New Roman" w:hAnsi="Times New Roman"/>
                <w:sz w:val="24"/>
                <w:szCs w:val="22"/>
              </w:rPr>
              <w:t>%。定制餐调渠道收入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1.08</w:t>
            </w:r>
            <w:r>
              <w:rPr>
                <w:rFonts w:hint="eastAsia" w:ascii="Times New Roman" w:hAnsi="Times New Roman"/>
                <w:sz w:val="24"/>
                <w:szCs w:val="22"/>
              </w:rPr>
              <w:t>亿元，同比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下降</w:t>
            </w:r>
            <w:r>
              <w:rPr>
                <w:rFonts w:hint="eastAsia" w:ascii="Times New Roman" w:hAnsi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0.40</w:t>
            </w:r>
            <w:r>
              <w:rPr>
                <w:rFonts w:hint="eastAsia" w:ascii="Times New Roman" w:hAnsi="Times New Roman"/>
                <w:sz w:val="24"/>
                <w:szCs w:val="22"/>
              </w:rPr>
              <w:t>%，占比8.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94</w:t>
            </w:r>
            <w:r>
              <w:rPr>
                <w:rFonts w:hint="eastAsia" w:ascii="Times New Roman" w:hAnsi="Times New Roman"/>
                <w:sz w:val="24"/>
                <w:szCs w:val="22"/>
              </w:rPr>
              <w:t>%。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收入按地区分类，西南地区、华中地区和华东地区占比较大，三个区域总计达到68.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08%。公司市场网络已经覆盖全国31个省、自治区及直辖市，形成了四川、河南、江苏、陕西、甘肃、新疆、天津、上海等多个优势省市以及由浙江、江西、云南等组成的快速增长区域。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1" w:leftChars="0" w:firstLine="0" w:firstLineChars="0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2"/>
              </w:rPr>
              <w:t>与投资者互动交流环节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5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二季度毛利率同比改善的原因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20" w:firstLineChars="175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答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1）促销力度减小对冲部分原材料上涨压力；2）产品结构调整，公司定制餐调产品的毛利率相对较低，二季度公司定制餐调产品下滑。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下半年广告费用规划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auto"/>
              <w:spacing w:line="360" w:lineRule="auto"/>
              <w:ind w:leftChars="0" w:firstLine="420" w:firstLineChars="175"/>
              <w:rPr>
                <w:rFonts w:hint="default" w:ascii="Times New Roman" w:hAnsi="Times New Roman" w:eastAsia="宋体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答：</w:t>
            </w:r>
            <w:r>
              <w:rPr>
                <w:rFonts w:hint="eastAsia" w:ascii="Times New Roman" w:hAnsi="Times New Roman"/>
                <w:sz w:val="24"/>
                <w:szCs w:val="22"/>
              </w:rPr>
              <w:t>受疫情影响，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2022年</w:t>
            </w:r>
            <w:r>
              <w:rPr>
                <w:rFonts w:hint="eastAsia" w:ascii="Times New Roman" w:hAnsi="Times New Roman"/>
                <w:sz w:val="24"/>
                <w:szCs w:val="22"/>
              </w:rPr>
              <w:t>上半年费用投入有所减少，下半年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将按照年初预算</w:t>
            </w:r>
            <w:r>
              <w:rPr>
                <w:rFonts w:hint="eastAsia" w:ascii="Times New Roman" w:hAnsi="Times New Roman"/>
                <w:sz w:val="24"/>
                <w:szCs w:val="22"/>
              </w:rPr>
              <w:t>计划执行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。品牌投入是一项长期工程，公司始终坚持以用户为中心，持续加强品牌费用精准投放，积极扩大品牌影响力，进一步提高市场占有率。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二季度中式菜品调料收入增速放缓的原因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auto"/>
              <w:spacing w:line="360" w:lineRule="auto"/>
              <w:ind w:leftChars="0" w:firstLine="420" w:firstLineChars="175"/>
              <w:rPr>
                <w:rFonts w:hint="default" w:ascii="Times New Roman" w:hAnsi="Times New Roman" w:eastAsia="宋体"/>
                <w:sz w:val="24"/>
                <w:szCs w:val="22"/>
                <w:highlight w:val="yellow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答：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>定制餐调产品中中式菜品调料的占比较高，因二季度定制餐调下滑，影响了中式菜品调料的整体增速。剔除定制餐调渠道的收入，中式菜品调料的增速为21</w:t>
            </w:r>
            <w:r>
              <w:rPr>
                <w:rFonts w:hint="eastAsia" w:ascii="Times New Roman" w:hAnsi="Times New Roman"/>
                <w:sz w:val="24"/>
                <w:szCs w:val="22"/>
                <w:highlight w:val="none"/>
                <w:lang w:val="en-US" w:eastAsia="zh-CN"/>
              </w:rPr>
              <w:t>%。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优商扶商的举措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20" w:firstLineChars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答：</w:t>
            </w:r>
            <w:r>
              <w:rPr>
                <w:rFonts w:hint="eastAsia" w:ascii="Times New Roman" w:hAnsi="Times New Roman"/>
                <w:sz w:val="24"/>
              </w:rPr>
              <w:t>公司推出优商扶商的经销商分级运营模式，在优商策略方面采取了精细化运营优商模式，通过销售动作标准化的业务流程保障基本盘的增长，赋能经销商生意发展，建立利益共同体。在成长型客户的策略方面采取了扶商模式，通过资源和关键动作聚焦的方式进行扶商成长，精准施策有效投入。销售组织设计也相应匹配客户分级运营，聚焦终端网点，聚焦费用投入，提高复购率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保障优商和扶商模式的顺利推进。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请介绍公司前十大股东中新增的一致行动人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20" w:firstLineChars="175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答：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公司控股股东、实际控制人邓文、唐璐夫妇因个人资产规划需要，与其一致行动人思勰投资安欣六号、安欣六号一期及安欣八号私募证券投资基金之间进行股份内部转让，其合计持股数量和比例不会发生变化，不涉及向市场减持，不会导致公司控股股东和实际控制人发生变化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控股股东、实际控制人与其一致行动人的股份变动将严格按照法律法规规定，合并进行披露。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近期四川的限电政策对公司的影响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default" w:ascii="Times New Roman" w:hAnsi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答：在接到四川省经济和信息化厅、国网四川省电力公司联合发布的《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关于扩大工业企业让电于民实施范围的紧急通知》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后，公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司已采取应对措施包括：（1）租用了发电机，保障部分产品的生产；（2）目前公司库存处于低位，应发尽发；（3）在渠道上根据缺货的情况，进行了区域间产品的调剂。目前限电政策预计对公司产量产生一定程度的影响，限电政策结束后满负荷生产，预计不会对公司本年度整体经营业绩产生重大不利影响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投资业务的规划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答：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基于公司战略规划和业务发展需要，通过内生力量和借助资本运作夯实核心竞争力，公司</w:t>
            </w:r>
            <w:r>
              <w:rPr>
                <w:rFonts w:hint="eastAsia" w:ascii="Times New Roman" w:hAnsi="Times New Roman"/>
                <w:sz w:val="24"/>
              </w:rPr>
              <w:t>通过横向并购、业投一体、机会型参股投资等形式，实现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行业</w:t>
            </w:r>
            <w:r>
              <w:rPr>
                <w:rFonts w:hint="eastAsia" w:ascii="Times New Roman" w:hAnsi="Times New Roman"/>
                <w:sz w:val="24"/>
              </w:rPr>
              <w:t>上下游生态链的共同发展。2022年上半年，公司先后参股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上游食品生产机械制造商</w:t>
            </w:r>
            <w:r>
              <w:rPr>
                <w:rFonts w:hint="eastAsia" w:ascii="Times New Roman" w:hAnsi="Times New Roman"/>
                <w:sz w:val="24"/>
              </w:rPr>
              <w:t>成都海科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机械设备制造有限公司</w:t>
            </w:r>
            <w:r>
              <w:rPr>
                <w:rFonts w:hint="eastAsia" w:ascii="Times New Roman" w:hAnsi="Times New Roman"/>
                <w:sz w:val="24"/>
              </w:rPr>
              <w:t>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下游餐饮连锁企业河南</w:t>
            </w:r>
            <w:r>
              <w:rPr>
                <w:rFonts w:hint="eastAsia" w:ascii="Times New Roman" w:hAnsi="Times New Roman"/>
                <w:sz w:val="24"/>
              </w:rPr>
              <w:t>浩天味美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餐饮管理有限公司</w:t>
            </w:r>
            <w:r>
              <w:rPr>
                <w:rFonts w:hint="eastAsia" w:ascii="Times New Roman" w:hAnsi="Times New Roman"/>
                <w:sz w:val="24"/>
              </w:rPr>
              <w:t>，通过股权投资链接核心资源，促进产业生态链良性发展。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介绍智慧工厂的情况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答：</w:t>
            </w:r>
            <w:r>
              <w:rPr>
                <w:rFonts w:hint="eastAsia" w:ascii="Times New Roman" w:hAnsi="Times New Roman"/>
                <w:sz w:val="24"/>
              </w:rPr>
              <w:t>天味食品智慧工厂在2022年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5月</w:t>
            </w:r>
            <w:r>
              <w:rPr>
                <w:rFonts w:hint="eastAsia" w:ascii="Times New Roman" w:hAnsi="Times New Roman"/>
                <w:sz w:val="24"/>
              </w:rPr>
              <w:t>顺利投产，智慧工厂的建成，一方面，行业领先的智慧系统与智能制造革新了行业产线模式，解决了传统产线人力投入的痛点和难点，单线产能和人均效能得到大幅提升；另一方面，通过智慧工厂，天味食品实现了智能化系统布局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在全流程自动化制造和100%数字化管控的基础上，从根本上解决了食品安全、产品品质、风味稳定等行业痛点，并大幅提升生产效率。天味食品作为复合调味品行业的头部企业，坚持不懈地探索新工艺、优化新流程、提升新标准，经过多年的工业化生产实践，将大规模智能制造引入行业，提供了复调行业的解决方案，既契合了行业发展趋势，也迎合了消费者对更高品质产品的需求，助力行业健康可持续发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公司好人家和大红袍的品牌定位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eastAsia" w:ascii="Times New Roman" w:hAnsi="Times New Roman"/>
                <w:sz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答：</w:t>
            </w:r>
            <w:r>
              <w:rPr>
                <w:rFonts w:hint="eastAsia" w:ascii="Times New Roman" w:hAnsi="Times New Roman"/>
                <w:sz w:val="24"/>
              </w:rPr>
              <w:t>公司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非常重视品牌建设，“好人家”品牌聚焦家庭消费市场，产品矩阵覆盖手工牛油火锅底料、酸菜鱼调料、小龙虾调料、香肠调料等上百个sku；“大红袍”品牌在C端业务基础上大力拓展小B端业务。公司在产品、运营模式、组织和人才上匹配相应资源，保障业务稳定增长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2" w:firstLineChars="175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公司半年度报告实现了增长但股价下跌幅度较大的原因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175"/>
              <w:rPr>
                <w:rFonts w:hint="default" w:ascii="Times New Roman" w:hAnsi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答：目前公司生产经营一切正常，不存在任何应披露未披露的信息。公司股价在二级市场的表现是宏观环境、行业政策、市场波动等多方面因素综合作用的结果。公司密切关注相关舆论情况，通过规范信息披露、加强投资者关系管理，不断深化与资本市场的沟通交流，积极向资本市场传递公司价值。同时，公司各方面管理举措也在按计划积极推进之中，将尽最大努力做好日常各项经营业务，持续提升公司的经营业绩以更好的盈利能力积极回报广大投资者。请投资者客观看待引起股价波动的因素，注意投资风险。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134" w:right="1416" w:bottom="993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E1A7A"/>
    <w:multiLevelType w:val="singleLevel"/>
    <w:tmpl w:val="B4BE1A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D85B1601"/>
    <w:multiLevelType w:val="singleLevel"/>
    <w:tmpl w:val="D85B16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UwYWYyZjQ4YTcwNDg4NzI3NWI3NzU5MTc3OTEifQ=="/>
  </w:docVars>
  <w:rsids>
    <w:rsidRoot w:val="744170E1"/>
    <w:rsid w:val="00004196"/>
    <w:rsid w:val="000137FB"/>
    <w:rsid w:val="00016AE5"/>
    <w:rsid w:val="0001709E"/>
    <w:rsid w:val="000203FA"/>
    <w:rsid w:val="0002788D"/>
    <w:rsid w:val="00030CDB"/>
    <w:rsid w:val="00031444"/>
    <w:rsid w:val="00044B0D"/>
    <w:rsid w:val="0004508D"/>
    <w:rsid w:val="00046D96"/>
    <w:rsid w:val="00056B49"/>
    <w:rsid w:val="00070D51"/>
    <w:rsid w:val="00077A54"/>
    <w:rsid w:val="00080518"/>
    <w:rsid w:val="0008069F"/>
    <w:rsid w:val="0008433B"/>
    <w:rsid w:val="00085C92"/>
    <w:rsid w:val="00093B96"/>
    <w:rsid w:val="000957F3"/>
    <w:rsid w:val="00096A25"/>
    <w:rsid w:val="000A0EF3"/>
    <w:rsid w:val="000A2C4F"/>
    <w:rsid w:val="000A420C"/>
    <w:rsid w:val="000B441A"/>
    <w:rsid w:val="000B5A5F"/>
    <w:rsid w:val="000C6942"/>
    <w:rsid w:val="000D0F21"/>
    <w:rsid w:val="000D31EA"/>
    <w:rsid w:val="000D43B9"/>
    <w:rsid w:val="000D4767"/>
    <w:rsid w:val="000D77DE"/>
    <w:rsid w:val="000E783E"/>
    <w:rsid w:val="000E7F53"/>
    <w:rsid w:val="000F1703"/>
    <w:rsid w:val="000F2586"/>
    <w:rsid w:val="00115585"/>
    <w:rsid w:val="00124FB6"/>
    <w:rsid w:val="00127738"/>
    <w:rsid w:val="00157BBE"/>
    <w:rsid w:val="00157DD2"/>
    <w:rsid w:val="00164438"/>
    <w:rsid w:val="00166AAD"/>
    <w:rsid w:val="00173402"/>
    <w:rsid w:val="001765AC"/>
    <w:rsid w:val="001767DD"/>
    <w:rsid w:val="001825AB"/>
    <w:rsid w:val="00192E4F"/>
    <w:rsid w:val="001954AB"/>
    <w:rsid w:val="0019570A"/>
    <w:rsid w:val="00195C1E"/>
    <w:rsid w:val="001A16F8"/>
    <w:rsid w:val="001A52F5"/>
    <w:rsid w:val="001B0928"/>
    <w:rsid w:val="001B51C4"/>
    <w:rsid w:val="001C552C"/>
    <w:rsid w:val="001D0577"/>
    <w:rsid w:val="001D2A67"/>
    <w:rsid w:val="001D3A95"/>
    <w:rsid w:val="001D3F6B"/>
    <w:rsid w:val="001E5E3E"/>
    <w:rsid w:val="001E7A44"/>
    <w:rsid w:val="001F18D3"/>
    <w:rsid w:val="001F615D"/>
    <w:rsid w:val="001F61B4"/>
    <w:rsid w:val="00202FC0"/>
    <w:rsid w:val="00210439"/>
    <w:rsid w:val="00216B11"/>
    <w:rsid w:val="002228D2"/>
    <w:rsid w:val="002307BE"/>
    <w:rsid w:val="00233F54"/>
    <w:rsid w:val="002363FD"/>
    <w:rsid w:val="002409BB"/>
    <w:rsid w:val="00242BD8"/>
    <w:rsid w:val="00245F1C"/>
    <w:rsid w:val="002463FA"/>
    <w:rsid w:val="00246BE3"/>
    <w:rsid w:val="0025004F"/>
    <w:rsid w:val="00253424"/>
    <w:rsid w:val="002558C1"/>
    <w:rsid w:val="00264200"/>
    <w:rsid w:val="00264F82"/>
    <w:rsid w:val="00276116"/>
    <w:rsid w:val="00282D5D"/>
    <w:rsid w:val="00284BFE"/>
    <w:rsid w:val="00295235"/>
    <w:rsid w:val="002B0F0E"/>
    <w:rsid w:val="002C622C"/>
    <w:rsid w:val="002D1FA8"/>
    <w:rsid w:val="002E2416"/>
    <w:rsid w:val="002F4DAF"/>
    <w:rsid w:val="00306258"/>
    <w:rsid w:val="00306E5F"/>
    <w:rsid w:val="003103D7"/>
    <w:rsid w:val="00310476"/>
    <w:rsid w:val="0031630D"/>
    <w:rsid w:val="00321E3B"/>
    <w:rsid w:val="003277C1"/>
    <w:rsid w:val="003324F3"/>
    <w:rsid w:val="00341972"/>
    <w:rsid w:val="00342A17"/>
    <w:rsid w:val="00345E87"/>
    <w:rsid w:val="00346936"/>
    <w:rsid w:val="00352B09"/>
    <w:rsid w:val="003642A8"/>
    <w:rsid w:val="00377D95"/>
    <w:rsid w:val="00380D45"/>
    <w:rsid w:val="00382792"/>
    <w:rsid w:val="003869BC"/>
    <w:rsid w:val="00391621"/>
    <w:rsid w:val="0039643C"/>
    <w:rsid w:val="00397234"/>
    <w:rsid w:val="003A07B7"/>
    <w:rsid w:val="003A1814"/>
    <w:rsid w:val="003A1C2A"/>
    <w:rsid w:val="003A3980"/>
    <w:rsid w:val="003A44B5"/>
    <w:rsid w:val="003B75B8"/>
    <w:rsid w:val="003C2414"/>
    <w:rsid w:val="003C4396"/>
    <w:rsid w:val="003D5B2B"/>
    <w:rsid w:val="003D6567"/>
    <w:rsid w:val="003E57C4"/>
    <w:rsid w:val="003F2406"/>
    <w:rsid w:val="003F2B43"/>
    <w:rsid w:val="003F32C8"/>
    <w:rsid w:val="00400488"/>
    <w:rsid w:val="00416FD3"/>
    <w:rsid w:val="0042466A"/>
    <w:rsid w:val="0042718D"/>
    <w:rsid w:val="00427E54"/>
    <w:rsid w:val="00430512"/>
    <w:rsid w:val="00436CDD"/>
    <w:rsid w:val="004453A8"/>
    <w:rsid w:val="004453C4"/>
    <w:rsid w:val="00452303"/>
    <w:rsid w:val="004545AE"/>
    <w:rsid w:val="00463304"/>
    <w:rsid w:val="00465163"/>
    <w:rsid w:val="0047007B"/>
    <w:rsid w:val="00475486"/>
    <w:rsid w:val="00484997"/>
    <w:rsid w:val="00490714"/>
    <w:rsid w:val="00491BA3"/>
    <w:rsid w:val="00497089"/>
    <w:rsid w:val="004A4C8E"/>
    <w:rsid w:val="004C1966"/>
    <w:rsid w:val="004D368F"/>
    <w:rsid w:val="004E448F"/>
    <w:rsid w:val="004E5C7C"/>
    <w:rsid w:val="004F128D"/>
    <w:rsid w:val="004F2795"/>
    <w:rsid w:val="004F5226"/>
    <w:rsid w:val="00504894"/>
    <w:rsid w:val="00511375"/>
    <w:rsid w:val="00513EB0"/>
    <w:rsid w:val="00517727"/>
    <w:rsid w:val="005179AD"/>
    <w:rsid w:val="00523AEA"/>
    <w:rsid w:val="005244DA"/>
    <w:rsid w:val="00535A5C"/>
    <w:rsid w:val="00551F52"/>
    <w:rsid w:val="005571D3"/>
    <w:rsid w:val="00557B59"/>
    <w:rsid w:val="005608CA"/>
    <w:rsid w:val="005616FC"/>
    <w:rsid w:val="00565526"/>
    <w:rsid w:val="00573A35"/>
    <w:rsid w:val="005830ED"/>
    <w:rsid w:val="00590FAB"/>
    <w:rsid w:val="005B1F4F"/>
    <w:rsid w:val="005B2E1C"/>
    <w:rsid w:val="005C54FC"/>
    <w:rsid w:val="005D183C"/>
    <w:rsid w:val="005D465A"/>
    <w:rsid w:val="005D4787"/>
    <w:rsid w:val="005E5012"/>
    <w:rsid w:val="00602259"/>
    <w:rsid w:val="00606796"/>
    <w:rsid w:val="00611883"/>
    <w:rsid w:val="00612040"/>
    <w:rsid w:val="006161FB"/>
    <w:rsid w:val="0062220A"/>
    <w:rsid w:val="00624B72"/>
    <w:rsid w:val="00626184"/>
    <w:rsid w:val="0063671A"/>
    <w:rsid w:val="00636B92"/>
    <w:rsid w:val="00647828"/>
    <w:rsid w:val="00650367"/>
    <w:rsid w:val="006515A6"/>
    <w:rsid w:val="00651E9C"/>
    <w:rsid w:val="00660DCB"/>
    <w:rsid w:val="00663581"/>
    <w:rsid w:val="00666BBC"/>
    <w:rsid w:val="00687A3E"/>
    <w:rsid w:val="0069036D"/>
    <w:rsid w:val="00694014"/>
    <w:rsid w:val="006942B6"/>
    <w:rsid w:val="0069687D"/>
    <w:rsid w:val="006A54C0"/>
    <w:rsid w:val="006A6CF4"/>
    <w:rsid w:val="006B3484"/>
    <w:rsid w:val="006B7378"/>
    <w:rsid w:val="006B747D"/>
    <w:rsid w:val="006C0393"/>
    <w:rsid w:val="006C37E2"/>
    <w:rsid w:val="006C52A5"/>
    <w:rsid w:val="006D153E"/>
    <w:rsid w:val="006D3C78"/>
    <w:rsid w:val="006D6911"/>
    <w:rsid w:val="006E15D1"/>
    <w:rsid w:val="006E1670"/>
    <w:rsid w:val="006E4FC2"/>
    <w:rsid w:val="006E56BF"/>
    <w:rsid w:val="006F06EB"/>
    <w:rsid w:val="006F2B39"/>
    <w:rsid w:val="006F41C2"/>
    <w:rsid w:val="006F5B6E"/>
    <w:rsid w:val="006F5BB6"/>
    <w:rsid w:val="006F66E4"/>
    <w:rsid w:val="006F6E7D"/>
    <w:rsid w:val="007015DC"/>
    <w:rsid w:val="00701A20"/>
    <w:rsid w:val="00701B19"/>
    <w:rsid w:val="00715B85"/>
    <w:rsid w:val="00733B27"/>
    <w:rsid w:val="00735C69"/>
    <w:rsid w:val="00735E13"/>
    <w:rsid w:val="00736194"/>
    <w:rsid w:val="00742599"/>
    <w:rsid w:val="007432BB"/>
    <w:rsid w:val="007436FD"/>
    <w:rsid w:val="00743C75"/>
    <w:rsid w:val="00751B1A"/>
    <w:rsid w:val="0077036B"/>
    <w:rsid w:val="00774D6E"/>
    <w:rsid w:val="00780A38"/>
    <w:rsid w:val="00787C2A"/>
    <w:rsid w:val="00793392"/>
    <w:rsid w:val="007B6FCD"/>
    <w:rsid w:val="007C03CD"/>
    <w:rsid w:val="007C3752"/>
    <w:rsid w:val="007D1DFB"/>
    <w:rsid w:val="007E108E"/>
    <w:rsid w:val="007F4484"/>
    <w:rsid w:val="007F5DF9"/>
    <w:rsid w:val="007F709E"/>
    <w:rsid w:val="008040CC"/>
    <w:rsid w:val="008054F7"/>
    <w:rsid w:val="00805A06"/>
    <w:rsid w:val="00811635"/>
    <w:rsid w:val="008144D3"/>
    <w:rsid w:val="00820AB9"/>
    <w:rsid w:val="00827A74"/>
    <w:rsid w:val="0083408C"/>
    <w:rsid w:val="0084174A"/>
    <w:rsid w:val="00841892"/>
    <w:rsid w:val="00843827"/>
    <w:rsid w:val="00845233"/>
    <w:rsid w:val="00847382"/>
    <w:rsid w:val="0085516E"/>
    <w:rsid w:val="00855938"/>
    <w:rsid w:val="008620F6"/>
    <w:rsid w:val="008632A0"/>
    <w:rsid w:val="00866C97"/>
    <w:rsid w:val="00872C51"/>
    <w:rsid w:val="00873AC7"/>
    <w:rsid w:val="00875C91"/>
    <w:rsid w:val="0088111E"/>
    <w:rsid w:val="00881FFD"/>
    <w:rsid w:val="00882F66"/>
    <w:rsid w:val="00885A35"/>
    <w:rsid w:val="0088624E"/>
    <w:rsid w:val="00895DCE"/>
    <w:rsid w:val="008A3055"/>
    <w:rsid w:val="008A3D3B"/>
    <w:rsid w:val="008A60D1"/>
    <w:rsid w:val="008B3398"/>
    <w:rsid w:val="008B4E4F"/>
    <w:rsid w:val="008C0DC5"/>
    <w:rsid w:val="008C1F22"/>
    <w:rsid w:val="008C46C7"/>
    <w:rsid w:val="008C46FD"/>
    <w:rsid w:val="008D1461"/>
    <w:rsid w:val="008E0832"/>
    <w:rsid w:val="008E5C93"/>
    <w:rsid w:val="008F50B8"/>
    <w:rsid w:val="009021FF"/>
    <w:rsid w:val="00907582"/>
    <w:rsid w:val="009143C1"/>
    <w:rsid w:val="00915838"/>
    <w:rsid w:val="00921FBA"/>
    <w:rsid w:val="00924CC6"/>
    <w:rsid w:val="00940A03"/>
    <w:rsid w:val="00940CD7"/>
    <w:rsid w:val="00943ED8"/>
    <w:rsid w:val="00950BD6"/>
    <w:rsid w:val="00952341"/>
    <w:rsid w:val="00952A6A"/>
    <w:rsid w:val="00953B23"/>
    <w:rsid w:val="0095522F"/>
    <w:rsid w:val="00964F6A"/>
    <w:rsid w:val="009757C0"/>
    <w:rsid w:val="00990F63"/>
    <w:rsid w:val="00993B50"/>
    <w:rsid w:val="00993C83"/>
    <w:rsid w:val="009A345D"/>
    <w:rsid w:val="009B3F1B"/>
    <w:rsid w:val="009B6DF3"/>
    <w:rsid w:val="009C0954"/>
    <w:rsid w:val="009C174D"/>
    <w:rsid w:val="009C3555"/>
    <w:rsid w:val="009D73E9"/>
    <w:rsid w:val="009E79A5"/>
    <w:rsid w:val="009F1293"/>
    <w:rsid w:val="00A02ED6"/>
    <w:rsid w:val="00A05C2B"/>
    <w:rsid w:val="00A07574"/>
    <w:rsid w:val="00A23E21"/>
    <w:rsid w:val="00A24102"/>
    <w:rsid w:val="00A37F8A"/>
    <w:rsid w:val="00A41035"/>
    <w:rsid w:val="00A44106"/>
    <w:rsid w:val="00A4607E"/>
    <w:rsid w:val="00A55EC9"/>
    <w:rsid w:val="00A573A1"/>
    <w:rsid w:val="00A6218E"/>
    <w:rsid w:val="00A6771A"/>
    <w:rsid w:val="00A928A2"/>
    <w:rsid w:val="00A9507D"/>
    <w:rsid w:val="00AA0364"/>
    <w:rsid w:val="00AA1535"/>
    <w:rsid w:val="00AB2F8D"/>
    <w:rsid w:val="00AB5BD3"/>
    <w:rsid w:val="00AC123E"/>
    <w:rsid w:val="00AD21C6"/>
    <w:rsid w:val="00AE0238"/>
    <w:rsid w:val="00AE2672"/>
    <w:rsid w:val="00AE59F5"/>
    <w:rsid w:val="00AE6293"/>
    <w:rsid w:val="00AE7921"/>
    <w:rsid w:val="00AF1EF3"/>
    <w:rsid w:val="00AF2E6F"/>
    <w:rsid w:val="00AF3F78"/>
    <w:rsid w:val="00AF78E5"/>
    <w:rsid w:val="00B05FA2"/>
    <w:rsid w:val="00B0669E"/>
    <w:rsid w:val="00B07E42"/>
    <w:rsid w:val="00B13B05"/>
    <w:rsid w:val="00B20869"/>
    <w:rsid w:val="00B33768"/>
    <w:rsid w:val="00B3673E"/>
    <w:rsid w:val="00B367F1"/>
    <w:rsid w:val="00B37EE3"/>
    <w:rsid w:val="00B4197D"/>
    <w:rsid w:val="00B433CF"/>
    <w:rsid w:val="00B509C3"/>
    <w:rsid w:val="00B5354A"/>
    <w:rsid w:val="00B70018"/>
    <w:rsid w:val="00B733C5"/>
    <w:rsid w:val="00B77CD4"/>
    <w:rsid w:val="00B846D1"/>
    <w:rsid w:val="00B91022"/>
    <w:rsid w:val="00B91AC5"/>
    <w:rsid w:val="00B9206F"/>
    <w:rsid w:val="00B94F1C"/>
    <w:rsid w:val="00B95E04"/>
    <w:rsid w:val="00BA1E43"/>
    <w:rsid w:val="00BA45C7"/>
    <w:rsid w:val="00BA4B13"/>
    <w:rsid w:val="00BB0211"/>
    <w:rsid w:val="00BB1EE0"/>
    <w:rsid w:val="00BB3CD8"/>
    <w:rsid w:val="00BC002C"/>
    <w:rsid w:val="00BC1391"/>
    <w:rsid w:val="00BC1C82"/>
    <w:rsid w:val="00BC1F21"/>
    <w:rsid w:val="00BD6BF8"/>
    <w:rsid w:val="00BD7AD8"/>
    <w:rsid w:val="00BE0119"/>
    <w:rsid w:val="00BE57C5"/>
    <w:rsid w:val="00BF196D"/>
    <w:rsid w:val="00BF50C8"/>
    <w:rsid w:val="00C04218"/>
    <w:rsid w:val="00C054D9"/>
    <w:rsid w:val="00C117FD"/>
    <w:rsid w:val="00C12EB2"/>
    <w:rsid w:val="00C1621D"/>
    <w:rsid w:val="00C20F0F"/>
    <w:rsid w:val="00C3411A"/>
    <w:rsid w:val="00C371EA"/>
    <w:rsid w:val="00C4694A"/>
    <w:rsid w:val="00C51810"/>
    <w:rsid w:val="00C51D95"/>
    <w:rsid w:val="00C52497"/>
    <w:rsid w:val="00C54BFD"/>
    <w:rsid w:val="00C6232C"/>
    <w:rsid w:val="00C64B5B"/>
    <w:rsid w:val="00C74D27"/>
    <w:rsid w:val="00C83C50"/>
    <w:rsid w:val="00C874E3"/>
    <w:rsid w:val="00C91CA7"/>
    <w:rsid w:val="00C97C2F"/>
    <w:rsid w:val="00CB4E26"/>
    <w:rsid w:val="00CC0896"/>
    <w:rsid w:val="00CC0DD1"/>
    <w:rsid w:val="00CD5FDA"/>
    <w:rsid w:val="00CE200A"/>
    <w:rsid w:val="00CE295F"/>
    <w:rsid w:val="00CE4667"/>
    <w:rsid w:val="00CE5CF4"/>
    <w:rsid w:val="00CE6A94"/>
    <w:rsid w:val="00CF2BE9"/>
    <w:rsid w:val="00CF3B07"/>
    <w:rsid w:val="00CF66B1"/>
    <w:rsid w:val="00D0039A"/>
    <w:rsid w:val="00D005C5"/>
    <w:rsid w:val="00D0397B"/>
    <w:rsid w:val="00D04C90"/>
    <w:rsid w:val="00D117C6"/>
    <w:rsid w:val="00D234C2"/>
    <w:rsid w:val="00D3140E"/>
    <w:rsid w:val="00D40023"/>
    <w:rsid w:val="00D4046B"/>
    <w:rsid w:val="00D47432"/>
    <w:rsid w:val="00D50B64"/>
    <w:rsid w:val="00D53821"/>
    <w:rsid w:val="00D56BC7"/>
    <w:rsid w:val="00D6053A"/>
    <w:rsid w:val="00D80443"/>
    <w:rsid w:val="00D81C3C"/>
    <w:rsid w:val="00D81CF3"/>
    <w:rsid w:val="00D81DBA"/>
    <w:rsid w:val="00D84278"/>
    <w:rsid w:val="00D84F10"/>
    <w:rsid w:val="00DA0477"/>
    <w:rsid w:val="00DA2535"/>
    <w:rsid w:val="00DB1FE7"/>
    <w:rsid w:val="00DB2437"/>
    <w:rsid w:val="00DB281C"/>
    <w:rsid w:val="00DB5F24"/>
    <w:rsid w:val="00DB742B"/>
    <w:rsid w:val="00DC47A9"/>
    <w:rsid w:val="00DE7990"/>
    <w:rsid w:val="00E119F0"/>
    <w:rsid w:val="00E200E2"/>
    <w:rsid w:val="00E44A8A"/>
    <w:rsid w:val="00E46113"/>
    <w:rsid w:val="00E51F52"/>
    <w:rsid w:val="00E57389"/>
    <w:rsid w:val="00E60112"/>
    <w:rsid w:val="00E6377E"/>
    <w:rsid w:val="00E71EB4"/>
    <w:rsid w:val="00E72E18"/>
    <w:rsid w:val="00E759C7"/>
    <w:rsid w:val="00E770C6"/>
    <w:rsid w:val="00E8442E"/>
    <w:rsid w:val="00E879AD"/>
    <w:rsid w:val="00E87E65"/>
    <w:rsid w:val="00E90E44"/>
    <w:rsid w:val="00E930C9"/>
    <w:rsid w:val="00EA008E"/>
    <w:rsid w:val="00EB2653"/>
    <w:rsid w:val="00EB2A44"/>
    <w:rsid w:val="00EB5D1E"/>
    <w:rsid w:val="00EC08A5"/>
    <w:rsid w:val="00EC3792"/>
    <w:rsid w:val="00EE1A88"/>
    <w:rsid w:val="00EF3121"/>
    <w:rsid w:val="00F0144D"/>
    <w:rsid w:val="00F068A1"/>
    <w:rsid w:val="00F1572C"/>
    <w:rsid w:val="00F16625"/>
    <w:rsid w:val="00F16676"/>
    <w:rsid w:val="00F21A2C"/>
    <w:rsid w:val="00F24024"/>
    <w:rsid w:val="00F24FA6"/>
    <w:rsid w:val="00F3621B"/>
    <w:rsid w:val="00F47439"/>
    <w:rsid w:val="00F54BB3"/>
    <w:rsid w:val="00F62BAC"/>
    <w:rsid w:val="00F67460"/>
    <w:rsid w:val="00F7610A"/>
    <w:rsid w:val="00F81631"/>
    <w:rsid w:val="00F85F05"/>
    <w:rsid w:val="00F95CEE"/>
    <w:rsid w:val="00FA3B80"/>
    <w:rsid w:val="00FA6E22"/>
    <w:rsid w:val="00FB1BEC"/>
    <w:rsid w:val="00FB238A"/>
    <w:rsid w:val="00FB7EC9"/>
    <w:rsid w:val="00FC3159"/>
    <w:rsid w:val="00FC3BCA"/>
    <w:rsid w:val="00FD08B3"/>
    <w:rsid w:val="00FE6399"/>
    <w:rsid w:val="00FF343F"/>
    <w:rsid w:val="00FF7275"/>
    <w:rsid w:val="00FF7D5D"/>
    <w:rsid w:val="025853AA"/>
    <w:rsid w:val="045A7C3D"/>
    <w:rsid w:val="074A36B3"/>
    <w:rsid w:val="078076F1"/>
    <w:rsid w:val="082012B0"/>
    <w:rsid w:val="094401F6"/>
    <w:rsid w:val="09861BA8"/>
    <w:rsid w:val="0A0323F2"/>
    <w:rsid w:val="0C2E743A"/>
    <w:rsid w:val="0FD47B4D"/>
    <w:rsid w:val="16867FD0"/>
    <w:rsid w:val="16D27951"/>
    <w:rsid w:val="1A8D5F05"/>
    <w:rsid w:val="1E0F7200"/>
    <w:rsid w:val="276A0314"/>
    <w:rsid w:val="299D4A37"/>
    <w:rsid w:val="2B3B7AB0"/>
    <w:rsid w:val="2C11436F"/>
    <w:rsid w:val="30442D60"/>
    <w:rsid w:val="325C3185"/>
    <w:rsid w:val="3368520F"/>
    <w:rsid w:val="36EC6BF2"/>
    <w:rsid w:val="378E4B3F"/>
    <w:rsid w:val="3E8256B7"/>
    <w:rsid w:val="3F7C428B"/>
    <w:rsid w:val="3F82031F"/>
    <w:rsid w:val="425055EB"/>
    <w:rsid w:val="42901689"/>
    <w:rsid w:val="43FF723C"/>
    <w:rsid w:val="47C1408E"/>
    <w:rsid w:val="4A454448"/>
    <w:rsid w:val="5A3205F4"/>
    <w:rsid w:val="5A4E4232"/>
    <w:rsid w:val="694E24B2"/>
    <w:rsid w:val="69706AA8"/>
    <w:rsid w:val="6AC879B5"/>
    <w:rsid w:val="6E6F1A2A"/>
    <w:rsid w:val="7073224B"/>
    <w:rsid w:val="72E445F8"/>
    <w:rsid w:val="74255F37"/>
    <w:rsid w:val="744170E1"/>
    <w:rsid w:val="747B207E"/>
    <w:rsid w:val="75D05CCE"/>
    <w:rsid w:val="77401B62"/>
    <w:rsid w:val="79866207"/>
    <w:rsid w:val="7B854A41"/>
    <w:rsid w:val="7FC13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3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IPO正文"/>
    <w:basedOn w:val="1"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宋体" w:hAnsi="宋体"/>
      <w:sz w:val="24"/>
    </w:rPr>
  </w:style>
  <w:style w:type="character" w:customStyle="1" w:styleId="15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kern w:val="2"/>
      <w:sz w:val="18"/>
      <w:szCs w:val="18"/>
    </w:rPr>
  </w:style>
  <w:style w:type="table" w:customStyle="1" w:styleId="17">
    <w:name w:val="网格型浅色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浅色2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3EED-A675-48BC-A957-1981EBA37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。。。</Company>
  <Pages>4</Pages>
  <Words>361</Words>
  <Characters>2063</Characters>
  <Lines>17</Lines>
  <Paragraphs>4</Paragraphs>
  <TotalTime>65</TotalTime>
  <ScaleCrop>false</ScaleCrop>
  <LinksUpToDate>false</LinksUpToDate>
  <CharactersWithSpaces>2420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2020-10-23T08:42:00Z</dcterms:created>
  <dc:creator>jessica</dc:creator>
  <cp:lastModifiedBy>Vousmevoyez</cp:lastModifiedBy>
  <dcterms:modified xsi:type="dcterms:W3CDTF">2022-08-25T03:41:39Z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C5DD067CBC1043D58A62DF65DCFBCF85</vt:lpwstr>
  </property>
</Properties>
</file>